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BDA06">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小标宋简体" w:hAnsi="方正小标宋简体" w:eastAsia="方正小标宋简体" w:cs="方正小标宋简体"/>
          <w:b w:val="0"/>
          <w:bCs w:val="0"/>
          <w:i w:val="0"/>
          <w:iCs w:val="0"/>
          <w:caps w:val="0"/>
          <w:color w:val="auto"/>
          <w:spacing w:val="18"/>
          <w:sz w:val="44"/>
          <w:szCs w:val="44"/>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18"/>
          <w:sz w:val="44"/>
          <w:szCs w:val="44"/>
          <w:shd w:val="clear" w:fill="FFFFFF"/>
          <w:lang w:val="en-US" w:eastAsia="zh-CN"/>
        </w:rPr>
        <w:t>奈曼旗兴隆沼生态建设发展中心工作期刊（第四十一期）</w:t>
      </w:r>
    </w:p>
    <w:p w14:paraId="2057D578">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小标宋简体" w:hAnsi="方正小标宋简体" w:eastAsia="方正小标宋简体" w:cs="方正小标宋简体"/>
          <w:b w:val="0"/>
          <w:bCs w:val="0"/>
          <w:i w:val="0"/>
          <w:iCs w:val="0"/>
          <w:caps w:val="0"/>
          <w:color w:val="auto"/>
          <w:spacing w:val="18"/>
          <w:sz w:val="44"/>
          <w:szCs w:val="44"/>
          <w:shd w:val="clear" w:fill="FFFFFF"/>
          <w:lang w:val="en-US" w:eastAsia="zh-CN"/>
        </w:rPr>
      </w:pPr>
    </w:p>
    <w:p w14:paraId="06147FD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
          <w:bCs/>
          <w:i w:val="0"/>
          <w:iCs w:val="0"/>
          <w:caps w:val="0"/>
          <w:color w:val="auto"/>
          <w:spacing w:val="18"/>
          <w:sz w:val="32"/>
          <w:szCs w:val="32"/>
          <w:shd w:val="clear" w:fill="FFFFFF"/>
          <w:lang w:val="en-US" w:eastAsia="zh-CN"/>
        </w:rPr>
      </w:pPr>
      <w:r>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t>奈曼旗旗委办、政府办联合小组到奈曼旗兴隆沼生态建设发展中心检查图斑整改情况和2022年以来采伐迹地更新情况</w:t>
      </w:r>
    </w:p>
    <w:p w14:paraId="4991FACC">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b w:val="0"/>
          <w:bCs w:val="0"/>
          <w:sz w:val="32"/>
          <w:szCs w:val="32"/>
          <w:lang w:val="en-US" w:eastAsia="zh-CN"/>
        </w:rPr>
      </w:pPr>
      <w:bookmarkStart w:id="0" w:name="OLE_LINK4"/>
      <w:r>
        <w:rPr>
          <w:rFonts w:hint="eastAsia" w:ascii="方正仿宋_GB2312" w:hAnsi="方正仿宋_GB2312" w:eastAsia="方正仿宋_GB2312" w:cs="方正仿宋_GB2312"/>
          <w:b w:val="0"/>
          <w:bCs w:val="0"/>
          <w:sz w:val="32"/>
          <w:szCs w:val="32"/>
          <w:lang w:val="en-US" w:eastAsia="zh-CN"/>
        </w:rPr>
        <w:t>近期，奈曼旗旗委办、政府办联合小组在奈曼旗兴隆沼生态建设发展中心进行了为期四个工作日的专项检查，包括图斑整改情况和2022年以来采伐迹地更新情况。</w:t>
      </w:r>
      <w:bookmarkEnd w:id="0"/>
      <w:r>
        <w:rPr>
          <w:rFonts w:hint="eastAsia" w:ascii="方正仿宋_GB2312" w:hAnsi="方正仿宋_GB2312" w:eastAsia="方正仿宋_GB2312" w:cs="方正仿宋_GB2312"/>
          <w:b w:val="0"/>
          <w:bCs w:val="0"/>
          <w:sz w:val="32"/>
          <w:szCs w:val="32"/>
          <w:lang w:val="en-US" w:eastAsia="zh-CN"/>
        </w:rPr>
        <w:t>​</w:t>
      </w:r>
    </w:p>
    <w:p w14:paraId="6D7A0FD8">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b w:val="0"/>
          <w:bCs w:val="0"/>
          <w:sz w:val="32"/>
          <w:szCs w:val="32"/>
          <w:lang w:val="en-US" w:eastAsia="zh-CN"/>
        </w:rPr>
      </w:pPr>
      <w:bookmarkStart w:id="1" w:name="OLE_LINK5"/>
      <w:r>
        <w:rPr>
          <w:rFonts w:hint="eastAsia" w:ascii="方正仿宋_GB2312" w:hAnsi="方正仿宋_GB2312" w:eastAsia="方正仿宋_GB2312" w:cs="方正仿宋_GB2312"/>
          <w:b w:val="0"/>
          <w:bCs w:val="0"/>
          <w:sz w:val="32"/>
          <w:szCs w:val="32"/>
          <w:lang w:val="en-US" w:eastAsia="zh-CN"/>
        </w:rPr>
        <w:t>为确保检查结果真实、数据准确，奈曼旗旗委办、政府办联合小组在检查范围内采取随机抽样的方式确定了待检地块。检查期间，兴隆沼生态建设发展中心各部门积极协同配合，提前根据待检地块的位置分布、地块大小，合理规划检查路线、时间安排，并同步通知各地块责任人提前到场等待，有效缩减了时间成本，提高了整体工作效率。</w:t>
      </w:r>
      <w:bookmarkEnd w:id="1"/>
    </w:p>
    <w:p w14:paraId="6F7F2A65">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b w:val="0"/>
          <w:bCs w:val="0"/>
          <w:sz w:val="32"/>
          <w:szCs w:val="32"/>
          <w:lang w:val="en-US" w:eastAsia="zh-CN"/>
        </w:rPr>
      </w:pPr>
      <w:bookmarkStart w:id="2" w:name="OLE_LINK6"/>
      <w:r>
        <w:rPr>
          <w:rFonts w:hint="eastAsia" w:ascii="方正仿宋_GB2312" w:hAnsi="方正仿宋_GB2312" w:eastAsia="方正仿宋_GB2312" w:cs="方正仿宋_GB2312"/>
          <w:b w:val="0"/>
          <w:bCs w:val="0"/>
          <w:sz w:val="32"/>
          <w:szCs w:val="32"/>
          <w:lang w:val="en-US" w:eastAsia="zh-CN"/>
        </w:rPr>
        <w:t>除实地检查外，奈曼旗旗委办、政府办联合小组还对所有乡村振兴相关的项目档案进行了检查，并提出具体化意见：将项目档案与单位其他档案分别存放，以便更高效地应对各层级后续检查工作，提升档案管理规范性。</w:t>
      </w:r>
      <w:bookmarkEnd w:id="2"/>
    </w:p>
    <w:p w14:paraId="3DFEEFF1">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sz w:val="32"/>
          <w:szCs w:val="32"/>
          <w:lang w:val="en-US" w:eastAsia="zh-CN"/>
        </w:rPr>
      </w:pPr>
      <w:bookmarkStart w:id="3" w:name="OLE_LINK7"/>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检查工作收尾后，</w:t>
      </w:r>
      <w:r>
        <w:rPr>
          <w:rFonts w:hint="eastAsia" w:ascii="方正仿宋_GB2312" w:hAnsi="方正仿宋_GB2312" w:eastAsia="方正仿宋_GB2312" w:cs="方正仿宋_GB2312"/>
          <w:b w:val="0"/>
          <w:bCs w:val="0"/>
          <w:sz w:val="32"/>
          <w:szCs w:val="32"/>
          <w:lang w:val="en-US" w:eastAsia="zh-CN"/>
        </w:rPr>
        <w:t>奈曼旗旗委办、政府办联合小组与兴隆沼生态建设发展中心领导、各部门召开专题总结会，通报了此次检查结果，梳理了存在的问题，进一步完善了检查工作闭环，为后续相关工作奠定了基础。</w:t>
      </w:r>
    </w:p>
    <w:bookmarkEnd w:id="3"/>
    <w:p w14:paraId="4322BE2D">
      <w:pPr>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br w:type="page"/>
      </w:r>
    </w:p>
    <w:p w14:paraId="7E34CDD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pPr>
      <w:bookmarkStart w:id="4" w:name="OLE_LINK1"/>
      <w:r>
        <w:rPr>
          <w:rFonts w:hint="eastAsia" w:ascii="方正仿宋_GB2312" w:hAnsi="方正仿宋_GB2312" w:eastAsia="方正仿宋_GB2312" w:cs="方正仿宋_GB2312"/>
          <w:b/>
          <w:bCs/>
          <w:i w:val="0"/>
          <w:iCs w:val="0"/>
          <w:caps w:val="0"/>
          <w:color w:val="auto"/>
          <w:spacing w:val="18"/>
          <w:sz w:val="32"/>
          <w:szCs w:val="32"/>
          <w:shd w:val="clear" w:fill="FFFFFF"/>
        </w:rPr>
        <w:t>通辽市林业和草原局徐局长</w:t>
      </w:r>
      <w:r>
        <w:rPr>
          <w:rFonts w:hint="eastAsia" w:ascii="方正仿宋_GB2312" w:hAnsi="方正仿宋_GB2312" w:eastAsia="方正仿宋_GB2312" w:cs="方正仿宋_GB2312"/>
          <w:b/>
          <w:bCs/>
          <w:i w:val="0"/>
          <w:iCs w:val="0"/>
          <w:caps w:val="0"/>
          <w:color w:val="auto"/>
          <w:spacing w:val="18"/>
          <w:sz w:val="32"/>
          <w:szCs w:val="32"/>
          <w:shd w:val="clear" w:fill="FFFFFF"/>
          <w:lang w:eastAsia="zh-CN"/>
        </w:rPr>
        <w:t>、</w:t>
      </w:r>
      <w:r>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t>林场科刘科长一行到奈曼旗兴隆沼生态建设发展中心检查国家林木种质资源库相关种质库管理情况</w:t>
      </w:r>
    </w:p>
    <w:bookmarkEnd w:id="4"/>
    <w:p w14:paraId="543BC6D4">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b w:val="0"/>
          <w:bCs w:val="0"/>
          <w:sz w:val="32"/>
          <w:szCs w:val="32"/>
          <w:lang w:val="en-US" w:eastAsia="zh-CN"/>
        </w:rPr>
      </w:pPr>
      <w:bookmarkStart w:id="5" w:name="OLE_LINK8"/>
      <w:r>
        <w:rPr>
          <w:rFonts w:hint="eastAsia" w:ascii="方正仿宋_GB2312" w:hAnsi="方正仿宋_GB2312" w:eastAsia="方正仿宋_GB2312" w:cs="方正仿宋_GB2312"/>
          <w:b w:val="0"/>
          <w:bCs w:val="0"/>
          <w:sz w:val="32"/>
          <w:szCs w:val="32"/>
          <w:lang w:val="en-US" w:eastAsia="zh-CN"/>
        </w:rPr>
        <w:t>9 月 5 日，通辽市林业和草原局徐局长、林场科刘科长一行前往奈曼旗兴隆沼生态建设发展中心，就国家林木种质资源库的种质基地管理情况开展检查工作。</w:t>
      </w:r>
    </w:p>
    <w:bookmarkEnd w:id="5"/>
    <w:p w14:paraId="70D077EA">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b w:val="0"/>
          <w:bCs w:val="0"/>
          <w:sz w:val="32"/>
          <w:szCs w:val="32"/>
          <w:lang w:val="en-US" w:eastAsia="zh-CN"/>
        </w:rPr>
      </w:pPr>
      <w:bookmarkStart w:id="6" w:name="OLE_LINK9"/>
      <w:r>
        <w:rPr>
          <w:rFonts w:hint="eastAsia" w:ascii="方正仿宋_GB2312" w:hAnsi="方正仿宋_GB2312" w:eastAsia="方正仿宋_GB2312" w:cs="方正仿宋_GB2312"/>
          <w:b w:val="0"/>
          <w:bCs w:val="0"/>
          <w:sz w:val="32"/>
          <w:szCs w:val="32"/>
          <w:lang w:val="en-US" w:eastAsia="zh-CN"/>
        </w:rPr>
        <w:t>在兴隆沼生态建设发展中心领导的陪同下，检查组首先深入实地，先后对小叶锦鸡儿良种基地、生态草种储备基地进行了现场查看。期间，兴隆沼生态建设发展中心王主任详细介绍了小叶锦鸡儿、胡枝子、沙打旺等种苗的当前的生长状态、养护措施，还结合气候条件与培育计划，分析了未来几年的生长趋势，通过具象化的现场讲解，让检查组对种质基地的培育管理水平有了直观且全面的认知。</w:t>
      </w:r>
      <w:bookmarkEnd w:id="6"/>
    </w:p>
    <w:p w14:paraId="51966945">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b/>
          <w:bCs/>
          <w:i w:val="0"/>
          <w:iCs w:val="0"/>
          <w:caps w:val="0"/>
          <w:color w:val="auto"/>
          <w:spacing w:val="18"/>
          <w:sz w:val="32"/>
          <w:szCs w:val="32"/>
          <w:shd w:val="clear" w:fill="FFFFFF"/>
          <w:lang w:val="en-US" w:eastAsia="zh-CN"/>
        </w:rPr>
      </w:pPr>
      <w:bookmarkStart w:id="7" w:name="OLE_LINK10"/>
      <w:r>
        <w:rPr>
          <w:rFonts w:hint="eastAsia" w:ascii="方正仿宋_GB2312" w:hAnsi="方正仿宋_GB2312" w:eastAsia="方正仿宋_GB2312" w:cs="方正仿宋_GB2312"/>
          <w:b w:val="0"/>
          <w:bCs w:val="0"/>
          <w:sz w:val="32"/>
          <w:szCs w:val="32"/>
          <w:lang w:val="en-US" w:eastAsia="zh-CN"/>
        </w:rPr>
        <w:t>实地检查结束后，双方随即召开检查总结会。会上，检查组一方面对种质资源库的档案资料进行细致核查，重点确认种苗培育记录、生长监测数据等资料的完整性与准确性，确保种质资源管理可追溯、可监管；另一方面全面总结当前各种质基地在设施建设、技术应用、日常管护等方面的工作成效与现存问题。同时，徐局长、刘科长结合国家林木种质资源管理规范与后续工作要求，就种质基地项目验收的标准、流程等关键事项提出具体指导意见，为后续工作有序推进明确方向。</w:t>
      </w:r>
    </w:p>
    <w:bookmarkEnd w:id="7"/>
    <w:p w14:paraId="7AF04855">
      <w:pPr>
        <w:ind w:firstLine="420" w:firstLineChars="0"/>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br w:type="page"/>
      </w:r>
    </w:p>
    <w:p w14:paraId="7914FD1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pPr>
      <w:bookmarkStart w:id="8" w:name="OLE_LINK2"/>
      <w:r>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t>奈曼旗应急管理局姚局长一行到奈曼旗兴隆沼生态建设发展中心检查森林草原应急防火相关情况</w:t>
      </w:r>
      <w:bookmarkEnd w:id="8"/>
    </w:p>
    <w:p w14:paraId="42049654">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9" w:name="OLE_LINK11"/>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9 月 10 日，奈曼旗应急管理局姚局长带队，赴奈曼旗兴隆沼生态建设发展中心开展森林草原应急防火专项检查工作，兴隆沼生态建设发展中心相关领导全程陪同。</w:t>
      </w:r>
      <w:bookmarkEnd w:id="9"/>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w:t>
      </w:r>
    </w:p>
    <w:p w14:paraId="00BA725C">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0" w:name="OLE_LINK12"/>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此次检查聚焦防火关键区域与核心设施，检查组沿“重点地块核查 + 关键设施查验”双线推进：一方面对自治区国家森林公园、小叶锦鸡儿林带等防火重点区域进行逐一排查，全面掌握区域内植被易燃性、火源管控等实时情况；另一方面针对防火隔离带的植被清理程度、防火道的通行流畅性等核心设施指标，开展实地细致检查，确保关键防火设施处于有效备用状态。</w:t>
      </w:r>
      <w:bookmarkEnd w:id="10"/>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w:t>
      </w:r>
    </w:p>
    <w:p w14:paraId="568D0B17">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1" w:name="OLE_LINK13"/>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检查过程中，姚局长结合季节特点与防火形势强调，九月正值森林草原防火“关键窗口期”，干燥气候加剧植被易燃性，秋季农事活动又推高野外火源风险，双重因素叠加使防火工作面临更大挑战。她明确指出，防火隔离带与防火道是阻断火灾蔓延、保障应急救援的 “生命线”，要做实日常维护管理，定期清理隔离带内杂草、杂物，保障防火道畅通，切实将防火措施落到实处。</w:t>
      </w:r>
      <w:bookmarkEnd w:id="11"/>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w:t>
      </w:r>
    </w:p>
    <w:p w14:paraId="62523295">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2" w:name="OLE_LINK14"/>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此次专项检查不仅夯实了重点区域的防火基础，更进一步强化了 “防火就是护家，护林就是护己” 的责任意识，为筑牢秋季森林草原防火安全防线提供了有力保障。</w:t>
      </w:r>
      <w:bookmarkEnd w:id="12"/>
    </w:p>
    <w:p w14:paraId="1D3D65B6">
      <w:pP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br w:type="page"/>
      </w:r>
    </w:p>
    <w:p w14:paraId="1419052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pPr>
      <w:bookmarkStart w:id="13" w:name="OLE_LINK3"/>
      <w:r>
        <w:rPr>
          <w:rFonts w:hint="eastAsia" w:ascii="方正仿宋_GB2312" w:hAnsi="方正仿宋_GB2312" w:eastAsia="方正仿宋_GB2312" w:cs="方正仿宋_GB2312"/>
          <w:b/>
          <w:bCs/>
          <w:i w:val="0"/>
          <w:iCs w:val="0"/>
          <w:caps w:val="0"/>
          <w:color w:val="auto"/>
          <w:spacing w:val="18"/>
          <w:sz w:val="32"/>
          <w:szCs w:val="32"/>
          <w:shd w:val="clear" w:fill="FFFFFF"/>
          <w:lang w:val="en-US" w:eastAsia="zh-CN"/>
        </w:rPr>
        <w:t>奈曼旗兴隆沼生态建设发展中心深入包联嘎查村调研指导驻村帮扶工作</w:t>
      </w:r>
      <w:bookmarkEnd w:id="13"/>
    </w:p>
    <w:p w14:paraId="2D7EF2D9">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4" w:name="OLE_LINK15"/>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为深入贯彻落实中央及自治区关于巩固拓展脱贫攻坚成果同乡村振兴有效衔接的决策部署</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，9月18日，奈曼旗兴隆沼生态建设发展中心王主任带队前往东明镇双合兴村、治安镇小包力皋村调研指导驻村帮扶工作。</w:t>
      </w:r>
      <w:bookmarkEnd w:id="14"/>
    </w:p>
    <w:p w14:paraId="55637874">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5" w:name="OLE_LINK16"/>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调研组一行</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深入</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包联嘎查村</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（双合兴村和小包力皋）</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，实地了解帮扶成效，详细询问村民生产生活、村集体经济收入、防返贫监测等情况。驻村</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干部</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汇报了近期在党建引领、民生改善、政策宣传等方面工作情况，嘎查村“两委”干部就当前存在的困难和下一步发展思路进行了交流，</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王主任</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对驻村前期工作成效给予肯定，认为</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驻村干部</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能够扎根基层、主动作为，在推动村基础设施改善等方面取得了实实在在</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的</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成效。针对调研中发现的问题和嘎查村提出的需求，调研组现场探讨解决方案。</w:t>
      </w:r>
    </w:p>
    <w:bookmarkEnd w:id="15"/>
    <w:p w14:paraId="0FCCC883">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6" w:name="OLE_LINK17"/>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王主任对驻村干部下一步工作提出以下要求：</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一要巩固拓展脱贫攻坚成果，落实好各项帮扶政策，坚决守住不发生规模性返贫底线；二要密切联系群众，用心用情解决村民“急难愁盼”问题；</w:t>
      </w:r>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三</w:t>
      </w:r>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t>要严守驻村纪律，与嘎查村“两委”团结协作，形成工作合力。</w:t>
      </w:r>
      <w:bookmarkEnd w:id="16"/>
    </w:p>
    <w:p w14:paraId="239BDE29">
      <w:pPr>
        <w:keepNext w:val="0"/>
        <w:keepLines w:val="0"/>
        <w:pageBreakBefore w:val="0"/>
        <w:widowControl w:val="0"/>
        <w:kinsoku/>
        <w:wordWrap/>
        <w:overflowPunct/>
        <w:topLinePunct w:val="0"/>
        <w:autoSpaceDE/>
        <w:autoSpaceDN/>
        <w:bidi w:val="0"/>
        <w:adjustRightInd/>
        <w:snapToGrid/>
        <w:spacing w:line="460" w:lineRule="exact"/>
        <w:ind w:firstLine="712" w:firstLineChars="200"/>
        <w:textAlignment w:val="auto"/>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pPr>
      <w:bookmarkStart w:id="17" w:name="OLE_LINK18"/>
      <w:r>
        <w:rPr>
          <w:rFonts w:hint="eastAsia" w:ascii="方正仿宋_GB2312" w:hAnsi="方正仿宋_GB2312" w:eastAsia="方正仿宋_GB2312" w:cs="方正仿宋_GB2312"/>
          <w:b w:val="0"/>
          <w:bCs w:val="0"/>
          <w:i w:val="0"/>
          <w:iCs w:val="0"/>
          <w:caps w:val="0"/>
          <w:color w:val="auto"/>
          <w:spacing w:val="18"/>
          <w:sz w:val="32"/>
          <w:szCs w:val="32"/>
          <w:shd w:val="clear" w:fill="FFFFFF"/>
          <w:lang w:val="en-US" w:eastAsia="zh-CN"/>
        </w:rPr>
        <w:t>下一步，奈曼旗兴隆沼生态建设发展中心将持续关注包联嘎查村发展，为绘就宜居宜业和美乡村新画卷贡献兴隆沼力量。</w:t>
      </w:r>
      <w:bookmarkEnd w:id="17"/>
      <w:r>
        <w:rPr>
          <w:rFonts w:hint="default" w:ascii="方正仿宋_GB2312" w:hAnsi="方正仿宋_GB2312" w:eastAsia="方正仿宋_GB2312" w:cs="方正仿宋_GB2312"/>
          <w:b w:val="0"/>
          <w:bCs w:val="0"/>
          <w:i w:val="0"/>
          <w:iCs w:val="0"/>
          <w:caps w:val="0"/>
          <w:color w:val="auto"/>
          <w:spacing w:val="18"/>
          <w:sz w:val="32"/>
          <w:szCs w:val="32"/>
          <w:shd w:val="clear" w:fill="FFFFFF"/>
          <w:lang w:val="en-US" w:eastAsia="zh-CN"/>
        </w:rPr>
        <w:br w:type="page"/>
      </w:r>
    </w:p>
    <w:p w14:paraId="0349ED06">
      <w:pPr>
        <w:rPr>
          <w:rFonts w:hint="eastAsia" w:eastAsiaTheme="minorEastAsia"/>
          <w:lang w:eastAsia="zh-CN"/>
        </w:rPr>
      </w:pPr>
    </w:p>
    <w:p w14:paraId="24E7C710">
      <w:pPr>
        <w:rPr>
          <w:rFonts w:hint="eastAsia" w:eastAsiaTheme="minorEastAsia"/>
          <w:lang w:eastAsia="zh-CN"/>
        </w:rPr>
      </w:pPr>
    </w:p>
    <w:p w14:paraId="45336CC3">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72390</wp:posOffset>
            </wp:positionH>
            <wp:positionV relativeFrom="paragraph">
              <wp:posOffset>142240</wp:posOffset>
            </wp:positionV>
            <wp:extent cx="5264785" cy="3947160"/>
            <wp:effectExtent l="0" t="0" r="12065" b="15240"/>
            <wp:wrapNone/>
            <wp:docPr id="3" name="图片 3" descr="督查-图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督查-图斑1"/>
                    <pic:cNvPicPr>
                      <a:picLocks noChangeAspect="1"/>
                    </pic:cNvPicPr>
                  </pic:nvPicPr>
                  <pic:blipFill>
                    <a:blip r:embed="rId4"/>
                    <a:stretch>
                      <a:fillRect/>
                    </a:stretch>
                  </pic:blipFill>
                  <pic:spPr>
                    <a:xfrm>
                      <a:off x="0" y="0"/>
                      <a:ext cx="5264785" cy="3947160"/>
                    </a:xfrm>
                    <a:prstGeom prst="rect">
                      <a:avLst/>
                    </a:prstGeom>
                  </pic:spPr>
                </pic:pic>
              </a:graphicData>
            </a:graphic>
          </wp:anchor>
        </w:drawing>
      </w:r>
    </w:p>
    <w:p w14:paraId="407C8ADF">
      <w:pPr>
        <w:rPr>
          <w:rFonts w:hint="eastAsia" w:eastAsiaTheme="minorEastAsia"/>
          <w:lang w:eastAsia="zh-CN"/>
        </w:rPr>
      </w:pPr>
    </w:p>
    <w:p w14:paraId="44ABF8D5">
      <w:pPr>
        <w:rPr>
          <w:rFonts w:hint="eastAsia" w:eastAsiaTheme="minorEastAsia"/>
          <w:lang w:eastAsia="zh-CN"/>
        </w:rPr>
      </w:pPr>
    </w:p>
    <w:p w14:paraId="6DC9B615">
      <w:pPr>
        <w:rPr>
          <w:rFonts w:hint="eastAsia" w:eastAsiaTheme="minorEastAsia"/>
          <w:lang w:eastAsia="zh-CN"/>
        </w:rPr>
      </w:pPr>
    </w:p>
    <w:p w14:paraId="416D7183">
      <w:pPr>
        <w:rPr>
          <w:rFonts w:hint="eastAsia" w:eastAsiaTheme="minorEastAsia"/>
          <w:lang w:eastAsia="zh-CN"/>
        </w:rPr>
      </w:pPr>
    </w:p>
    <w:p w14:paraId="3BA98FED">
      <w:pPr>
        <w:rPr>
          <w:rFonts w:hint="eastAsia" w:eastAsiaTheme="minorEastAsia"/>
          <w:lang w:eastAsia="zh-CN"/>
        </w:rPr>
      </w:pPr>
    </w:p>
    <w:p w14:paraId="14BD3AE7">
      <w:pPr>
        <w:rPr>
          <w:rFonts w:hint="eastAsia" w:eastAsiaTheme="minorEastAsia"/>
          <w:lang w:eastAsia="zh-CN"/>
        </w:rPr>
      </w:pPr>
    </w:p>
    <w:p w14:paraId="5D045C00">
      <w:pPr>
        <w:rPr>
          <w:rFonts w:hint="eastAsia" w:eastAsiaTheme="minorEastAsia"/>
          <w:lang w:eastAsia="zh-CN"/>
        </w:rPr>
      </w:pPr>
    </w:p>
    <w:p w14:paraId="3D530A23">
      <w:pPr>
        <w:rPr>
          <w:rFonts w:hint="eastAsia" w:eastAsiaTheme="minorEastAsia"/>
          <w:lang w:eastAsia="zh-CN"/>
        </w:rPr>
      </w:pPr>
    </w:p>
    <w:p w14:paraId="6055B848">
      <w:pPr>
        <w:rPr>
          <w:rFonts w:hint="eastAsia" w:eastAsiaTheme="minorEastAsia"/>
          <w:lang w:eastAsia="zh-CN"/>
        </w:rPr>
      </w:pPr>
    </w:p>
    <w:p w14:paraId="2CDDF3CF">
      <w:pPr>
        <w:rPr>
          <w:rFonts w:hint="eastAsia" w:eastAsiaTheme="minorEastAsia"/>
          <w:lang w:eastAsia="zh-CN"/>
        </w:rPr>
      </w:pPr>
    </w:p>
    <w:p w14:paraId="34C4CD0E">
      <w:pPr>
        <w:rPr>
          <w:rFonts w:hint="eastAsia" w:eastAsiaTheme="minorEastAsia"/>
          <w:lang w:eastAsia="zh-CN"/>
        </w:rPr>
      </w:pPr>
    </w:p>
    <w:p w14:paraId="23A5D5C4">
      <w:pPr>
        <w:rPr>
          <w:rFonts w:hint="eastAsia" w:eastAsiaTheme="minorEastAsia"/>
          <w:lang w:eastAsia="zh-CN"/>
        </w:rPr>
      </w:pPr>
    </w:p>
    <w:p w14:paraId="40E5173F">
      <w:pPr>
        <w:rPr>
          <w:rFonts w:hint="eastAsia" w:eastAsiaTheme="minorEastAsia"/>
          <w:lang w:eastAsia="zh-CN"/>
        </w:rPr>
      </w:pPr>
    </w:p>
    <w:p w14:paraId="58356043">
      <w:pPr>
        <w:rPr>
          <w:rFonts w:hint="eastAsia" w:eastAsiaTheme="minorEastAsia"/>
          <w:lang w:eastAsia="zh-CN"/>
        </w:rPr>
      </w:pPr>
    </w:p>
    <w:p w14:paraId="7B9EE894">
      <w:pPr>
        <w:rPr>
          <w:rFonts w:hint="eastAsia" w:eastAsiaTheme="minorEastAsia"/>
          <w:lang w:eastAsia="zh-CN"/>
        </w:rPr>
      </w:pPr>
    </w:p>
    <w:p w14:paraId="27585F73">
      <w:pPr>
        <w:rPr>
          <w:rFonts w:hint="eastAsia" w:eastAsiaTheme="minorEastAsia"/>
          <w:lang w:eastAsia="zh-CN"/>
        </w:rPr>
      </w:pPr>
    </w:p>
    <w:p w14:paraId="2EC00A6E">
      <w:pPr>
        <w:rPr>
          <w:rFonts w:hint="eastAsia" w:eastAsiaTheme="minorEastAsia"/>
          <w:lang w:eastAsia="zh-CN"/>
        </w:rPr>
      </w:pPr>
    </w:p>
    <w:p w14:paraId="18606B49">
      <w:pPr>
        <w:rPr>
          <w:rFonts w:hint="eastAsia" w:eastAsiaTheme="minorEastAsia"/>
          <w:lang w:eastAsia="zh-CN"/>
        </w:rPr>
      </w:pPr>
    </w:p>
    <w:p w14:paraId="28D1EC02">
      <w:pPr>
        <w:rPr>
          <w:rFonts w:hint="eastAsia" w:eastAsiaTheme="minorEastAsia"/>
          <w:lang w:eastAsia="zh-CN"/>
        </w:rPr>
      </w:pPr>
    </w:p>
    <w:p w14:paraId="2BCFEED8">
      <w:pPr>
        <w:rPr>
          <w:rFonts w:hint="eastAsia" w:eastAsiaTheme="minorEastAsia"/>
          <w:lang w:eastAsia="zh-CN"/>
        </w:rPr>
      </w:pPr>
    </w:p>
    <w:p w14:paraId="77BD61BD">
      <w:pPr>
        <w:rPr>
          <w:rFonts w:hint="eastAsia" w:eastAsiaTheme="minorEastAsia"/>
          <w:lang w:eastAsia="zh-CN"/>
        </w:rPr>
      </w:pPr>
    </w:p>
    <w:p w14:paraId="6B49DA2E">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8" name="图片 8" descr="种质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种质06"/>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r>
        <w:rPr>
          <w:rFonts w:hint="eastAsia" w:eastAsiaTheme="minorEastAsia"/>
          <w:lang w:eastAsia="zh-CN"/>
        </w:rPr>
        <w:drawing>
          <wp:inline distT="0" distB="0" distL="114300" distR="114300">
            <wp:extent cx="5266690" cy="3950335"/>
            <wp:effectExtent l="0" t="0" r="10160" b="12065"/>
            <wp:docPr id="5" name="图片 5" descr="种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种质10"/>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14:paraId="3BC0A58E">
      <w:pPr>
        <w:rPr>
          <w:rFonts w:hint="eastAsia" w:eastAsiaTheme="minorEastAsia"/>
          <w:lang w:eastAsia="zh-CN"/>
        </w:rPr>
      </w:pPr>
    </w:p>
    <w:p w14:paraId="5A6AAEB4">
      <w:pPr>
        <w:rPr>
          <w:rFonts w:hint="eastAsia" w:eastAsiaTheme="minorEastAsia"/>
          <w:lang w:eastAsia="zh-CN"/>
        </w:rPr>
      </w:pPr>
      <w:bookmarkStart w:id="18" w:name="_GoBack"/>
      <w:bookmarkEnd w:id="18"/>
      <w:r>
        <w:rPr>
          <w:rFonts w:hint="eastAsia" w:eastAsiaTheme="minorEastAsia"/>
          <w:lang w:eastAsia="zh-CN"/>
        </w:rPr>
        <w:drawing>
          <wp:inline distT="0" distB="0" distL="114300" distR="114300">
            <wp:extent cx="5253990" cy="3940175"/>
            <wp:effectExtent l="0" t="0" r="3810" b="3175"/>
            <wp:docPr id="2" name="图片 2" descr="应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应急1"/>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p>
    <w:p w14:paraId="29E526F0">
      <w:pPr>
        <w:rPr>
          <w:rFonts w:hint="eastAsia" w:eastAsiaTheme="minorEastAsia"/>
          <w:lang w:eastAsia="zh-CN"/>
        </w:rPr>
      </w:pPr>
    </w:p>
    <w:p w14:paraId="24857678">
      <w:pPr>
        <w:rPr>
          <w:rFonts w:hint="eastAsia" w:eastAsiaTheme="minorEastAsia"/>
          <w:lang w:eastAsia="zh-CN"/>
        </w:rPr>
      </w:pPr>
    </w:p>
    <w:p w14:paraId="42AC649E">
      <w:pPr>
        <w:rPr>
          <w:rFonts w:hint="eastAsia" w:eastAsiaTheme="minorEastAsia"/>
          <w:lang w:eastAsia="zh-CN"/>
        </w:rPr>
      </w:pPr>
    </w:p>
    <w:p w14:paraId="62117FD6">
      <w:pPr>
        <w:rPr>
          <w:rFonts w:hint="eastAsia" w:eastAsiaTheme="minorEastAsia"/>
          <w:lang w:eastAsia="zh-CN"/>
        </w:rPr>
      </w:pPr>
      <w:r>
        <w:rPr>
          <w:rFonts w:hint="eastAsia" w:eastAsiaTheme="minorEastAsia"/>
          <w:lang w:eastAsia="zh-CN"/>
        </w:rPr>
        <w:drawing>
          <wp:inline distT="0" distB="0" distL="114300" distR="114300">
            <wp:extent cx="5253990" cy="3940175"/>
            <wp:effectExtent l="0" t="0" r="3810" b="3175"/>
            <wp:docPr id="6" name="图片 6" descr="驻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驻村1"/>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14:paraId="21E39244">
      <w:pPr>
        <w:rPr>
          <w:rFonts w:hint="eastAsia" w:eastAsiaTheme="minorEastAsia"/>
          <w:lang w:eastAsia="zh-CN"/>
        </w:rPr>
      </w:pPr>
    </w:p>
    <w:p w14:paraId="4090239F">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1" w:fontKey="{565DF36F-D027-4056-9521-A491FDAE5C13}"/>
  </w:font>
  <w:font w:name="方正仿宋_GB2312">
    <w:panose1 w:val="02000000000000000000"/>
    <w:charset w:val="86"/>
    <w:family w:val="auto"/>
    <w:pitch w:val="default"/>
    <w:sig w:usb0="A00002BF" w:usb1="184F6CFA" w:usb2="00000012" w:usb3="00000000" w:csb0="00040001" w:csb1="00000000"/>
    <w:embedRegular r:id="rId2" w:fontKey="{5A77E45A-CEA0-4325-94DB-F07C70C978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C61358"/>
    <w:rsid w:val="2D77027C"/>
    <w:rsid w:val="3CCC2B85"/>
    <w:rsid w:val="513B59F2"/>
    <w:rsid w:val="51E72FC5"/>
    <w:rsid w:val="766B6FAD"/>
    <w:rsid w:val="78772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2016</Words>
  <Characters>2024</Characters>
  <Lines>0</Lines>
  <Paragraphs>0</Paragraphs>
  <TotalTime>219</TotalTime>
  <ScaleCrop>false</ScaleCrop>
  <LinksUpToDate>false</LinksUpToDate>
  <CharactersWithSpaces>2035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2025-09-04T02:00:00Z</dcterms:created>
  <dc:creator>admin</dc:creator>
  <cp:lastModifiedBy>迩卢</cp:lastModifiedBy>
  <dcterms:modified xsi:type="dcterms:W3CDTF">2025-09-25T01:56:49Z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eyJoZGlkIjoiZWM0NzNiYTRmNjU4OWUxMGE2NDkzYzYzN2U4YmJmYjEiLCJ1c2VySWQiOiIyNDIxMDg1MTYifQ==</vt:lpwstr>
  </property>
  <property fmtid="{D5CDD505-2E9C-101B-9397-08002B2CF9AE}" pid="4" name="ICV">
    <vt:lpwstr>F1F908E9AC254F81927ADF64294D31C0_13</vt:lpwstr>
  </property>
</Properties>
</file>