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FE0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奈</w:t>
      </w:r>
      <w:r>
        <w:rPr>
          <w:rFonts w:hint="eastAsia" w:ascii="仿宋_GB2312" w:hAnsi="仿宋_GB2312" w:eastAsia="仿宋_GB2312" w:cs="仿宋_GB2312"/>
          <w:kern w:val="0"/>
          <w:sz w:val="32"/>
          <w:szCs w:val="32"/>
          <w:lang w:val="zh-CN"/>
        </w:rPr>
        <w:t>市监信发〔2025〕</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号</w:t>
      </w:r>
    </w:p>
    <w:p w14:paraId="4DEE25FA">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bookmarkStart w:id="0" w:name="_GoBack"/>
      <w:bookmarkEnd w:id="0"/>
    </w:p>
    <w:p w14:paraId="1F069BA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市场监督管理局</w:t>
      </w:r>
    </w:p>
    <w:p w14:paraId="6AF024A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“无事不扰”助企发展工作方案》的通知</w:t>
      </w:r>
    </w:p>
    <w:p w14:paraId="608ACE73">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p w14:paraId="7A5C15B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各</w:t>
      </w:r>
      <w:r>
        <w:rPr>
          <w:rFonts w:hint="eastAsia" w:ascii="仿宋_GB2312" w:hAnsi="仿宋_GB2312" w:eastAsia="仿宋_GB2312" w:cs="仿宋_GB2312"/>
          <w:kern w:val="0"/>
          <w:sz w:val="32"/>
          <w:szCs w:val="32"/>
          <w:lang w:val="en-US" w:eastAsia="zh-CN"/>
        </w:rPr>
        <w:t>市场监管所</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综合执法大队</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局机关相关股室：</w:t>
      </w:r>
    </w:p>
    <w:p w14:paraId="09DB8970">
      <w:pPr>
        <w:keepNext w:val="0"/>
        <w:keepLines w:val="0"/>
        <w:pageBreakBefore w:val="0"/>
        <w:widowControl/>
        <w:kinsoku w:val="0"/>
        <w:wordWrap/>
        <w:overflowPunct/>
        <w:topLinePunct w:val="0"/>
        <w:autoSpaceDE w:val="0"/>
        <w:autoSpaceDN w:val="0"/>
        <w:bidi w:val="0"/>
        <w:adjustRightInd w:val="0"/>
        <w:snapToGrid w:val="0"/>
        <w:spacing w:before="187" w:line="560" w:lineRule="exact"/>
        <w:ind w:right="456" w:firstLine="65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现将《</w:t>
      </w:r>
      <w:r>
        <w:rPr>
          <w:rFonts w:hint="eastAsia" w:ascii="仿宋_GB2312" w:hAnsi="仿宋_GB2312" w:eastAsia="仿宋_GB2312" w:cs="仿宋_GB2312"/>
          <w:spacing w:val="3"/>
          <w:sz w:val="32"/>
          <w:szCs w:val="32"/>
          <w:lang w:val="en-US" w:eastAsia="zh-CN"/>
        </w:rPr>
        <w:t>奈曼旗</w:t>
      </w:r>
      <w:r>
        <w:rPr>
          <w:rFonts w:hint="eastAsia" w:ascii="仿宋_GB2312" w:hAnsi="仿宋_GB2312" w:eastAsia="仿宋_GB2312" w:cs="仿宋_GB2312"/>
          <w:spacing w:val="3"/>
          <w:sz w:val="32"/>
          <w:szCs w:val="32"/>
        </w:rPr>
        <w:t>市场监督管理局“无事不扰”助企发展工作方</w:t>
      </w:r>
      <w:r>
        <w:rPr>
          <w:rFonts w:hint="eastAsia" w:ascii="仿宋_GB2312" w:hAnsi="仿宋_GB2312" w:eastAsia="仿宋_GB2312" w:cs="仿宋_GB2312"/>
          <w:spacing w:val="6"/>
          <w:sz w:val="32"/>
          <w:szCs w:val="32"/>
        </w:rPr>
        <w:t>案》印发给你们，请结合实际工作，认真贯</w:t>
      </w:r>
      <w:r>
        <w:rPr>
          <w:rFonts w:hint="eastAsia" w:ascii="仿宋_GB2312" w:hAnsi="仿宋_GB2312" w:eastAsia="仿宋_GB2312" w:cs="仿宋_GB2312"/>
          <w:spacing w:val="5"/>
          <w:sz w:val="32"/>
          <w:szCs w:val="32"/>
        </w:rPr>
        <w:t>彻落实。</w:t>
      </w:r>
    </w:p>
    <w:p w14:paraId="7DEEB647">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F6B4D47">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96A7BE5">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691C5F9A">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3F34B08">
      <w:pPr>
        <w:keepNext w:val="0"/>
        <w:keepLines w:val="0"/>
        <w:pageBreakBefore w:val="0"/>
        <w:widowControl/>
        <w:kinsoku w:val="0"/>
        <w:wordWrap/>
        <w:overflowPunct/>
        <w:topLinePunct w:val="0"/>
        <w:autoSpaceDE w:val="0"/>
        <w:autoSpaceDN w:val="0"/>
        <w:bidi w:val="0"/>
        <w:adjustRightInd w:val="0"/>
        <w:snapToGrid w:val="0"/>
        <w:spacing w:before="102" w:line="560" w:lineRule="exact"/>
        <w:ind w:left="47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奈曼旗</w:t>
      </w:r>
      <w:r>
        <w:rPr>
          <w:rFonts w:hint="eastAsia" w:ascii="仿宋_GB2312" w:hAnsi="仿宋_GB2312" w:eastAsia="仿宋_GB2312" w:cs="仿宋_GB2312"/>
          <w:spacing w:val="11"/>
          <w:sz w:val="32"/>
          <w:szCs w:val="32"/>
        </w:rPr>
        <w:t>市场监督管理局</w:t>
      </w:r>
    </w:p>
    <w:p w14:paraId="069F465E">
      <w:pPr>
        <w:keepNext w:val="0"/>
        <w:keepLines w:val="0"/>
        <w:pageBreakBefore w:val="0"/>
        <w:widowControl/>
        <w:kinsoku w:val="0"/>
        <w:wordWrap/>
        <w:overflowPunct/>
        <w:topLinePunct w:val="0"/>
        <w:autoSpaceDE w:val="0"/>
        <w:autoSpaceDN w:val="0"/>
        <w:bidi w:val="0"/>
        <w:adjustRightInd w:val="0"/>
        <w:snapToGrid w:val="0"/>
        <w:spacing w:before="147" w:line="560" w:lineRule="exact"/>
        <w:ind w:left="5060"/>
        <w:textAlignment w:val="baseline"/>
        <w:rPr>
          <w:rFonts w:hint="eastAsia" w:ascii="仿宋" w:hAnsi="仿宋" w:eastAsia="仿宋" w:cs="仿宋"/>
          <w:sz w:val="32"/>
          <w:szCs w:val="32"/>
        </w:rPr>
      </w:pPr>
      <w:r>
        <w:rPr>
          <w:rFonts w:hint="eastAsia" w:ascii="仿宋_GB2312" w:hAnsi="仿宋_GB2312" w:eastAsia="仿宋_GB2312" w:cs="仿宋_GB2312"/>
          <w:spacing w:val="47"/>
          <w:sz w:val="32"/>
          <w:szCs w:val="32"/>
        </w:rPr>
        <w:t>2025年</w:t>
      </w:r>
      <w:r>
        <w:rPr>
          <w:rFonts w:hint="eastAsia" w:ascii="仿宋_GB2312" w:hAnsi="仿宋_GB2312" w:eastAsia="仿宋_GB2312" w:cs="仿宋_GB2312"/>
          <w:spacing w:val="47"/>
          <w:sz w:val="32"/>
          <w:szCs w:val="32"/>
          <w:lang w:val="en-US" w:eastAsia="zh-CN"/>
        </w:rPr>
        <w:t>8</w:t>
      </w:r>
      <w:r>
        <w:rPr>
          <w:rFonts w:hint="eastAsia" w:ascii="仿宋_GB2312" w:hAnsi="仿宋_GB2312" w:eastAsia="仿宋_GB2312" w:cs="仿宋_GB2312"/>
          <w:spacing w:val="47"/>
          <w:sz w:val="32"/>
          <w:szCs w:val="32"/>
        </w:rPr>
        <w:t>月</w:t>
      </w:r>
      <w:r>
        <w:rPr>
          <w:rFonts w:hint="eastAsia" w:ascii="仿宋_GB2312" w:hAnsi="仿宋_GB2312" w:eastAsia="仿宋_GB2312" w:cs="仿宋_GB2312"/>
          <w:spacing w:val="47"/>
          <w:sz w:val="32"/>
          <w:szCs w:val="32"/>
          <w:lang w:val="en-US" w:eastAsia="zh-CN"/>
        </w:rPr>
        <w:t>21</w:t>
      </w:r>
      <w:r>
        <w:rPr>
          <w:rFonts w:hint="eastAsia" w:ascii="仿宋_GB2312" w:hAnsi="仿宋_GB2312" w:eastAsia="仿宋_GB2312" w:cs="仿宋_GB2312"/>
          <w:spacing w:val="47"/>
          <w:sz w:val="32"/>
          <w:szCs w:val="32"/>
        </w:rPr>
        <w:t>日</w:t>
      </w:r>
    </w:p>
    <w:p w14:paraId="6EB548F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sectPr>
          <w:pgSz w:w="11890" w:h="16270"/>
          <w:pgMar w:top="5386" w:right="1800" w:bottom="1440" w:left="1800" w:header="0" w:footer="0" w:gutter="0"/>
          <w:cols w:space="720" w:num="1"/>
        </w:sectPr>
      </w:pPr>
    </w:p>
    <w:p w14:paraId="15B1DF60">
      <w:pPr>
        <w:keepNext w:val="0"/>
        <w:keepLines w:val="0"/>
        <w:pageBreakBefore w:val="0"/>
        <w:widowControl/>
        <w:kinsoku w:val="0"/>
        <w:wordWrap/>
        <w:overflowPunct/>
        <w:topLinePunct w:val="0"/>
        <w:autoSpaceDE w:val="0"/>
        <w:autoSpaceDN w:val="0"/>
        <w:bidi w:val="0"/>
        <w:adjustRightInd w:val="0"/>
        <w:snapToGrid w:val="0"/>
        <w:spacing w:before="280" w:line="520" w:lineRule="exact"/>
        <w:ind w:left="936"/>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4"/>
          <w:sz w:val="44"/>
          <w:szCs w:val="44"/>
          <w:lang w:val="en-US" w:eastAsia="zh-CN"/>
        </w:rPr>
        <w:t>奈曼旗</w:t>
      </w:r>
      <w:r>
        <w:rPr>
          <w:rFonts w:hint="eastAsia" w:ascii="方正小标宋简体" w:hAnsi="方正小标宋简体" w:eastAsia="方正小标宋简体" w:cs="方正小标宋简体"/>
          <w:b/>
          <w:bCs/>
          <w:spacing w:val="14"/>
          <w:sz w:val="44"/>
          <w:szCs w:val="44"/>
        </w:rPr>
        <w:t>市场监督管理局“无事不扰”</w:t>
      </w:r>
    </w:p>
    <w:p w14:paraId="08766D68">
      <w:pPr>
        <w:keepNext w:val="0"/>
        <w:keepLines w:val="0"/>
        <w:pageBreakBefore w:val="0"/>
        <w:widowControl/>
        <w:kinsoku w:val="0"/>
        <w:wordWrap/>
        <w:overflowPunct/>
        <w:topLinePunct w:val="0"/>
        <w:autoSpaceDE w:val="0"/>
        <w:autoSpaceDN w:val="0"/>
        <w:bidi w:val="0"/>
        <w:adjustRightInd w:val="0"/>
        <w:snapToGrid w:val="0"/>
        <w:spacing w:before="10" w:line="520" w:lineRule="exact"/>
        <w:ind w:left="2686"/>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4"/>
          <w:sz w:val="44"/>
          <w:szCs w:val="44"/>
        </w:rPr>
        <w:t>助企发展工作方案</w:t>
      </w:r>
    </w:p>
    <w:p w14:paraId="6DCB3CE5">
      <w:pPr>
        <w:pStyle w:val="2"/>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14:paraId="148DCE0C">
      <w:pPr>
        <w:keepNext w:val="0"/>
        <w:keepLines w:val="0"/>
        <w:pageBreakBefore w:val="0"/>
        <w:widowControl/>
        <w:kinsoku w:val="0"/>
        <w:wordWrap/>
        <w:overflowPunct/>
        <w:topLinePunct w:val="0"/>
        <w:autoSpaceDE w:val="0"/>
        <w:autoSpaceDN w:val="0"/>
        <w:bidi w:val="0"/>
        <w:adjustRightInd w:val="0"/>
        <w:snapToGrid w:val="0"/>
        <w:spacing w:before="187" w:line="520" w:lineRule="exact"/>
        <w:ind w:right="456" w:firstLine="65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为贯彻落实《国务院办公厅关于严格规范涉企行政检查的意见》(国办发〔2024〕54号)的要求，进一步规范</w:t>
      </w:r>
      <w:r>
        <w:rPr>
          <w:rFonts w:hint="eastAsia" w:ascii="仿宋_GB2312" w:hAnsi="仿宋_GB2312" w:eastAsia="仿宋_GB2312" w:cs="仿宋_GB2312"/>
          <w:spacing w:val="3"/>
          <w:sz w:val="32"/>
          <w:szCs w:val="32"/>
          <w:lang w:val="en-US" w:eastAsia="zh-CN"/>
        </w:rPr>
        <w:t>奈曼旗</w:t>
      </w:r>
      <w:r>
        <w:rPr>
          <w:rFonts w:hint="eastAsia" w:ascii="仿宋_GB2312" w:hAnsi="仿宋_GB2312" w:eastAsia="仿宋_GB2312" w:cs="仿宋_GB2312"/>
          <w:spacing w:val="3"/>
          <w:sz w:val="32"/>
          <w:szCs w:val="32"/>
        </w:rPr>
        <w:t>市场监管系统涉企行政检查行为，切实提高涉企行政检查质效</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坚决遏制多头检查、重复检查、随意检查等乱检查行为发生，切实减轻企业负担，建立“无事不扰”清单，助企发展工作创新，减轻企业经营负担，激发市场主体活力，增强发展内生动力，确保“助企行动”取得实效</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特制定本方案。</w:t>
      </w:r>
    </w:p>
    <w:p w14:paraId="40F453F3">
      <w:pPr>
        <w:keepNext w:val="0"/>
        <w:keepLines w:val="0"/>
        <w:pageBreakBefore w:val="0"/>
        <w:widowControl/>
        <w:kinsoku w:val="0"/>
        <w:wordWrap/>
        <w:overflowPunct/>
        <w:topLinePunct w:val="0"/>
        <w:autoSpaceDE w:val="0"/>
        <w:autoSpaceDN w:val="0"/>
        <w:bidi w:val="0"/>
        <w:adjustRightInd w:val="0"/>
        <w:snapToGrid w:val="0"/>
        <w:spacing w:before="17" w:line="520" w:lineRule="exact"/>
        <w:ind w:left="634"/>
        <w:textAlignment w:val="baseline"/>
        <w:outlineLvl w:val="2"/>
        <w:rPr>
          <w:rFonts w:ascii="黑体" w:hAnsi="黑体" w:eastAsia="黑体" w:cs="黑体"/>
          <w:sz w:val="31"/>
          <w:szCs w:val="31"/>
        </w:rPr>
      </w:pPr>
      <w:r>
        <w:rPr>
          <w:rFonts w:ascii="黑体" w:hAnsi="黑体" w:eastAsia="黑体" w:cs="黑体"/>
          <w:b w:val="0"/>
          <w:bCs w:val="0"/>
          <w:spacing w:val="5"/>
          <w:sz w:val="32"/>
          <w:szCs w:val="32"/>
        </w:rPr>
        <w:t>一、工作目标</w:t>
      </w:r>
    </w:p>
    <w:p w14:paraId="3649251E">
      <w:pPr>
        <w:keepNext w:val="0"/>
        <w:keepLines w:val="0"/>
        <w:pageBreakBefore w:val="0"/>
        <w:widowControl/>
        <w:kinsoku w:val="0"/>
        <w:wordWrap/>
        <w:overflowPunct/>
        <w:topLinePunct w:val="0"/>
        <w:autoSpaceDE w:val="0"/>
        <w:autoSpaceDN w:val="0"/>
        <w:bidi w:val="0"/>
        <w:adjustRightInd w:val="0"/>
        <w:snapToGrid w:val="0"/>
        <w:spacing w:before="187" w:line="520" w:lineRule="exact"/>
        <w:ind w:right="456" w:firstLine="65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坚持以习近平新时代中国特色社会主义思想为指导，全面贯彻落实党的二十届三中全会精神，落实自治区党委十一届九次全会暨全区经济工作会议关于助企行动的决策部署，以创建一流营商环境为目标，以助力民营企业健康发展为重点，坚持“无事不扰、有求必应”原则，贯彻“有感服务、无感监管”理念，切实降低民营企业经营负担</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助力民营企业高质量发展</w:t>
      </w:r>
      <w:r>
        <w:rPr>
          <w:rFonts w:hint="eastAsia" w:ascii="仿宋_GB2312" w:hAnsi="仿宋_GB2312" w:eastAsia="仿宋_GB2312" w:cs="仿宋_GB2312"/>
          <w:spacing w:val="3"/>
          <w:sz w:val="32"/>
          <w:szCs w:val="32"/>
          <w:lang w:eastAsia="zh-CN"/>
        </w:rPr>
        <w:t>。</w:t>
      </w:r>
    </w:p>
    <w:p w14:paraId="1E521568">
      <w:pPr>
        <w:keepNext w:val="0"/>
        <w:keepLines w:val="0"/>
        <w:pageBreakBefore w:val="0"/>
        <w:widowControl/>
        <w:kinsoku w:val="0"/>
        <w:wordWrap/>
        <w:overflowPunct/>
        <w:topLinePunct w:val="0"/>
        <w:autoSpaceDE w:val="0"/>
        <w:autoSpaceDN w:val="0"/>
        <w:bidi w:val="0"/>
        <w:adjustRightInd w:val="0"/>
        <w:snapToGrid w:val="0"/>
        <w:spacing w:before="17" w:line="520" w:lineRule="exact"/>
        <w:ind w:left="634"/>
        <w:textAlignment w:val="baseline"/>
        <w:outlineLvl w:val="2"/>
        <w:rPr>
          <w:rFonts w:ascii="黑体" w:hAnsi="黑体" w:eastAsia="黑体" w:cs="黑体"/>
          <w:b w:val="0"/>
          <w:bCs w:val="0"/>
          <w:spacing w:val="5"/>
          <w:sz w:val="32"/>
          <w:szCs w:val="32"/>
        </w:rPr>
      </w:pPr>
      <w:r>
        <w:rPr>
          <w:rFonts w:ascii="黑体" w:hAnsi="黑体" w:eastAsia="黑体" w:cs="黑体"/>
          <w:b w:val="0"/>
          <w:bCs w:val="0"/>
          <w:spacing w:val="5"/>
          <w:sz w:val="32"/>
          <w:szCs w:val="32"/>
        </w:rPr>
        <w:t>二、工作任务</w:t>
      </w:r>
    </w:p>
    <w:p w14:paraId="01945101">
      <w:pPr>
        <w:keepNext w:val="0"/>
        <w:keepLines w:val="0"/>
        <w:pageBreakBefore w:val="0"/>
        <w:widowControl/>
        <w:kinsoku w:val="0"/>
        <w:wordWrap/>
        <w:overflowPunct/>
        <w:topLinePunct w:val="0"/>
        <w:autoSpaceDE w:val="0"/>
        <w:autoSpaceDN w:val="0"/>
        <w:bidi w:val="0"/>
        <w:adjustRightInd w:val="0"/>
        <w:snapToGrid w:val="0"/>
        <w:spacing w:before="178" w:line="520" w:lineRule="exact"/>
        <w:ind w:left="770"/>
        <w:textAlignment w:val="baseline"/>
        <w:rPr>
          <w:rFonts w:hint="eastAsia" w:ascii="楷体" w:hAnsi="楷体" w:eastAsia="楷体" w:cs="楷体"/>
          <w:b/>
          <w:bCs/>
          <w:sz w:val="32"/>
          <w:szCs w:val="32"/>
        </w:rPr>
      </w:pPr>
      <w:r>
        <w:rPr>
          <w:rFonts w:hint="eastAsia" w:ascii="楷体" w:hAnsi="楷体" w:eastAsia="楷体" w:cs="楷体"/>
          <w:b/>
          <w:bCs/>
          <w:spacing w:val="21"/>
          <w:sz w:val="32"/>
          <w:szCs w:val="32"/>
        </w:rPr>
        <w:t>(一)建立企业“无事不扰”清单</w:t>
      </w:r>
    </w:p>
    <w:p w14:paraId="7C4E4688">
      <w:pPr>
        <w:keepNext w:val="0"/>
        <w:keepLines w:val="0"/>
        <w:pageBreakBefore w:val="0"/>
        <w:widowControl/>
        <w:kinsoku w:val="0"/>
        <w:wordWrap/>
        <w:overflowPunct/>
        <w:topLinePunct w:val="0"/>
        <w:autoSpaceDE w:val="0"/>
        <w:autoSpaceDN w:val="0"/>
        <w:bidi w:val="0"/>
        <w:adjustRightInd w:val="0"/>
        <w:snapToGrid w:val="0"/>
        <w:spacing w:before="187" w:line="520" w:lineRule="exact"/>
        <w:ind w:right="456" w:firstLine="65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奈曼旗市场监督管理局</w:t>
      </w:r>
      <w:r>
        <w:rPr>
          <w:rFonts w:hint="eastAsia" w:ascii="仿宋_GB2312" w:hAnsi="仿宋_GB2312" w:eastAsia="仿宋_GB2312" w:cs="仿宋_GB2312"/>
          <w:spacing w:val="3"/>
          <w:sz w:val="32"/>
          <w:szCs w:val="32"/>
        </w:rPr>
        <w:t>根据本地区实际建立健全评价体系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完善以信用评价、风险等级为基础的分级分类监管制度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对辖区内的企业精准画像，除涉及安全、生命健康的行业领域以外，制定本地区“无事不扰企业清单”</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定期更新，动态调整，持续</w:t>
      </w:r>
      <w:r>
        <w:rPr>
          <w:rFonts w:hint="eastAsia" w:ascii="仿宋_GB2312" w:hAnsi="仿宋_GB2312" w:eastAsia="仿宋_GB2312" w:cs="仿宋_GB2312"/>
          <w:spacing w:val="3"/>
          <w:sz w:val="32"/>
          <w:szCs w:val="32"/>
          <w:lang w:val="en-US" w:eastAsia="zh-CN"/>
        </w:rPr>
        <w:t>推</w:t>
      </w:r>
      <w:r>
        <w:rPr>
          <w:rFonts w:hint="eastAsia" w:ascii="仿宋_GB2312" w:hAnsi="仿宋_GB2312" w:eastAsia="仿宋_GB2312" w:cs="仿宋_GB2312"/>
          <w:spacing w:val="3"/>
          <w:sz w:val="32"/>
          <w:szCs w:val="32"/>
        </w:rPr>
        <w:t>广企业清单范围，逐步增加企业数量。对清单范围内的企业原则上不再开展实地检查，实施守信免检、守信少检等措施。</w:t>
      </w:r>
    </w:p>
    <w:p w14:paraId="11EEE231">
      <w:pPr>
        <w:keepNext w:val="0"/>
        <w:keepLines w:val="0"/>
        <w:pageBreakBefore w:val="0"/>
        <w:widowControl/>
        <w:kinsoku w:val="0"/>
        <w:wordWrap/>
        <w:overflowPunct/>
        <w:topLinePunct w:val="0"/>
        <w:autoSpaceDE w:val="0"/>
        <w:autoSpaceDN w:val="0"/>
        <w:bidi w:val="0"/>
        <w:adjustRightInd w:val="0"/>
        <w:snapToGrid w:val="0"/>
        <w:spacing w:before="187" w:line="520" w:lineRule="exact"/>
        <w:ind w:right="456" w:firstLine="65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开展信用风险预警提醒。对经营主体未履行即时信息公示义务、未及时办理住所变更登记、未及时进行年报等可能导致经营主体被列入经营异常名录的违法违规行为</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通过线上平台、线下走访、电话短信等方式，向市场主体推送失信预警提醒，引导经营主体规避失信风险，包容审慎护航企业健康发展</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提供“有感服务”。</w:t>
      </w:r>
    </w:p>
    <w:p w14:paraId="676FAC0D">
      <w:pPr>
        <w:keepNext w:val="0"/>
        <w:keepLines w:val="0"/>
        <w:pageBreakBefore w:val="0"/>
        <w:widowControl/>
        <w:kinsoku w:val="0"/>
        <w:wordWrap/>
        <w:overflowPunct/>
        <w:topLinePunct w:val="0"/>
        <w:autoSpaceDE w:val="0"/>
        <w:autoSpaceDN w:val="0"/>
        <w:bidi w:val="0"/>
        <w:adjustRightInd w:val="0"/>
        <w:snapToGrid w:val="0"/>
        <w:spacing w:before="178" w:line="520" w:lineRule="exact"/>
        <w:ind w:left="770"/>
        <w:textAlignment w:val="baseline"/>
        <w:rPr>
          <w:rFonts w:hint="eastAsia" w:ascii="楷体" w:hAnsi="楷体" w:eastAsia="楷体" w:cs="楷体"/>
          <w:b/>
          <w:bCs/>
          <w:spacing w:val="21"/>
          <w:sz w:val="32"/>
          <w:szCs w:val="32"/>
        </w:rPr>
      </w:pPr>
      <w:r>
        <w:rPr>
          <w:rFonts w:hint="eastAsia" w:ascii="楷体" w:hAnsi="楷体" w:eastAsia="楷体" w:cs="楷体"/>
          <w:b/>
          <w:bCs/>
          <w:spacing w:val="21"/>
          <w:sz w:val="32"/>
          <w:szCs w:val="32"/>
        </w:rPr>
        <w:t>(二)规范涉企检查，减轻企业负担</w:t>
      </w:r>
    </w:p>
    <w:p w14:paraId="05C0899B">
      <w:pPr>
        <w:keepNext w:val="0"/>
        <w:keepLines w:val="0"/>
        <w:pageBreakBefore w:val="0"/>
        <w:widowControl/>
        <w:kinsoku w:val="0"/>
        <w:wordWrap/>
        <w:overflowPunct/>
        <w:topLinePunct w:val="0"/>
        <w:autoSpaceDE w:val="0"/>
        <w:autoSpaceDN w:val="0"/>
        <w:bidi w:val="0"/>
        <w:adjustRightInd w:val="0"/>
        <w:snapToGrid w:val="0"/>
        <w:spacing w:before="187" w:line="520" w:lineRule="exact"/>
        <w:ind w:right="456" w:firstLine="650"/>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严格落实《国务院办公厅关于严格规范涉企行政检查的意见》中“五个严禁”“八个不得”要求，有效规范行政检查行为</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切实提升行政检查人员职业素养和专业水平</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确保行政检查于法有据、严格规范、公正文明、精准高效</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进一步优化营商</w:t>
      </w:r>
      <w:r>
        <w:rPr>
          <w:rFonts w:hint="eastAsia" w:ascii="仿宋_GB2312" w:hAnsi="仿宋_GB2312" w:eastAsia="仿宋_GB2312" w:cs="仿宋_GB2312"/>
          <w:spacing w:val="3"/>
          <w:sz w:val="32"/>
          <w:szCs w:val="32"/>
          <w:lang w:val="en-US" w:eastAsia="zh-CN"/>
        </w:rPr>
        <w:t>环境。</w:t>
      </w:r>
    </w:p>
    <w:p w14:paraId="6424FE79">
      <w:pPr>
        <w:keepNext w:val="0"/>
        <w:keepLines w:val="0"/>
        <w:pageBreakBefore w:val="0"/>
        <w:widowControl/>
        <w:kinsoku w:val="0"/>
        <w:wordWrap/>
        <w:overflowPunct/>
        <w:topLinePunct w:val="0"/>
        <w:autoSpaceDE w:val="0"/>
        <w:autoSpaceDN w:val="0"/>
        <w:bidi w:val="0"/>
        <w:adjustRightInd w:val="0"/>
        <w:snapToGrid w:val="0"/>
        <w:spacing w:before="6" w:line="520" w:lineRule="exact"/>
        <w:ind w:firstLine="650"/>
        <w:textAlignment w:val="baseline"/>
        <w:rPr>
          <w:rFonts w:hint="eastAsia" w:ascii="仿宋_GB2312" w:hAnsi="仿宋_GB2312" w:eastAsia="仿宋_GB2312" w:cs="仿宋_GB2312"/>
          <w:spacing w:val="3"/>
          <w:sz w:val="32"/>
          <w:szCs w:val="32"/>
        </w:rPr>
      </w:pPr>
      <w:r>
        <w:rPr>
          <w:rFonts w:hint="eastAsia" w:ascii="仿宋" w:hAnsi="仿宋" w:eastAsia="仿宋" w:cs="仿宋"/>
          <w:b w:val="0"/>
          <w:bCs w:val="0"/>
          <w:spacing w:val="-4"/>
          <w:sz w:val="32"/>
          <w:szCs w:val="32"/>
          <w:lang w:val="en-US" w:eastAsia="zh-CN"/>
        </w:rPr>
        <w:t>1、</w:t>
      </w:r>
      <w:r>
        <w:rPr>
          <w:rFonts w:hint="eastAsia" w:ascii="仿宋" w:hAnsi="仿宋" w:eastAsia="仿宋" w:cs="仿宋"/>
          <w:b w:val="0"/>
          <w:bCs w:val="0"/>
          <w:spacing w:val="-4"/>
          <w:sz w:val="32"/>
          <w:szCs w:val="32"/>
        </w:rPr>
        <w:t>减少检查次数</w:t>
      </w:r>
      <w:r>
        <w:rPr>
          <w:rFonts w:hint="eastAsia" w:ascii="仿宋" w:hAnsi="仿宋" w:eastAsia="仿宋" w:cs="仿宋"/>
          <w:b/>
          <w:bCs/>
          <w:spacing w:val="-4"/>
          <w:sz w:val="32"/>
          <w:szCs w:val="32"/>
        </w:rPr>
        <w:t>。</w:t>
      </w:r>
      <w:r>
        <w:rPr>
          <w:rFonts w:hint="eastAsia" w:ascii="仿宋_GB2312" w:hAnsi="仿宋_GB2312" w:eastAsia="仿宋_GB2312" w:cs="仿宋_GB2312"/>
          <w:spacing w:val="3"/>
          <w:sz w:val="32"/>
          <w:szCs w:val="32"/>
        </w:rPr>
        <w:t>实施跨部门联合“双随机、一公开”监管</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实现“进一次门、查多件事”</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同一部门实施的多项监督检查</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原则上合并进行。不同部门实施的多项监督检查</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应当实施</w:t>
      </w:r>
      <w:r>
        <w:rPr>
          <w:rFonts w:hint="eastAsia" w:ascii="仿宋_GB2312" w:hAnsi="仿宋_GB2312" w:eastAsia="仿宋_GB2312" w:cs="仿宋_GB2312"/>
          <w:spacing w:val="3"/>
          <w:sz w:val="32"/>
          <w:szCs w:val="32"/>
          <w:lang w:val="en-US" w:eastAsia="zh-CN"/>
        </w:rPr>
        <w:t>合并</w:t>
      </w:r>
      <w:r>
        <w:rPr>
          <w:rFonts w:hint="eastAsia" w:ascii="仿宋_GB2312" w:hAnsi="仿宋_GB2312" w:eastAsia="仿宋_GB2312" w:cs="仿宋_GB2312"/>
          <w:spacing w:val="3"/>
          <w:sz w:val="32"/>
          <w:szCs w:val="32"/>
        </w:rPr>
        <w:t>或者联合检查，除督促、帮助企业整改、验收外</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不得以同一事由重复检查。</w:t>
      </w:r>
    </w:p>
    <w:p w14:paraId="121B40B7">
      <w:pPr>
        <w:keepNext w:val="0"/>
        <w:keepLines w:val="0"/>
        <w:pageBreakBefore w:val="0"/>
        <w:widowControl/>
        <w:kinsoku w:val="0"/>
        <w:wordWrap/>
        <w:overflowPunct/>
        <w:topLinePunct w:val="0"/>
        <w:autoSpaceDE w:val="0"/>
        <w:autoSpaceDN w:val="0"/>
        <w:bidi w:val="0"/>
        <w:adjustRightInd w:val="0"/>
        <w:snapToGrid w:val="0"/>
        <w:spacing w:before="4" w:line="520" w:lineRule="exact"/>
        <w:ind w:right="80" w:firstLine="664"/>
        <w:textAlignment w:val="baseline"/>
        <w:rPr>
          <w:rFonts w:hint="eastAsia" w:ascii="仿宋_GB2312" w:hAnsi="仿宋_GB2312" w:eastAsia="仿宋_GB2312" w:cs="仿宋_GB2312"/>
          <w:spacing w:val="3"/>
          <w:sz w:val="32"/>
          <w:szCs w:val="32"/>
        </w:rPr>
      </w:pPr>
      <w:r>
        <w:rPr>
          <w:rFonts w:hint="eastAsia" w:ascii="仿宋" w:hAnsi="仿宋" w:eastAsia="仿宋" w:cs="仿宋"/>
          <w:b w:val="0"/>
          <w:bCs w:val="0"/>
          <w:spacing w:val="9"/>
          <w:sz w:val="32"/>
          <w:szCs w:val="32"/>
          <w:lang w:val="en-US" w:eastAsia="zh-CN"/>
        </w:rPr>
        <w:t>2</w:t>
      </w:r>
      <w:r>
        <w:rPr>
          <w:rFonts w:hint="eastAsia" w:ascii="仿宋" w:hAnsi="仿宋" w:eastAsia="仿宋" w:cs="仿宋"/>
          <w:b w:val="0"/>
          <w:bCs w:val="0"/>
          <w:spacing w:val="9"/>
          <w:sz w:val="32"/>
          <w:szCs w:val="32"/>
          <w:lang w:eastAsia="zh-CN"/>
        </w:rPr>
        <w:t>、</w:t>
      </w:r>
      <w:r>
        <w:rPr>
          <w:rFonts w:hint="eastAsia" w:ascii="仿宋" w:hAnsi="仿宋" w:eastAsia="仿宋" w:cs="仿宋"/>
          <w:b w:val="0"/>
          <w:bCs w:val="0"/>
          <w:spacing w:val="9"/>
          <w:sz w:val="32"/>
          <w:szCs w:val="32"/>
        </w:rPr>
        <w:t>降低企业检查负担。</w:t>
      </w:r>
      <w:r>
        <w:rPr>
          <w:rFonts w:hint="eastAsia" w:ascii="仿宋_GB2312" w:hAnsi="仿宋_GB2312" w:eastAsia="仿宋_GB2312" w:cs="仿宋_GB2312"/>
          <w:spacing w:val="3"/>
          <w:sz w:val="32"/>
          <w:szCs w:val="32"/>
        </w:rPr>
        <w:t>最大限度精简需企业报送的材料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表格或调查问卷等，严格控制评比、考核等需要企业配合的事项。到企业进行现场检查，原则上不得随意约见企业法定代表人或要求企业主要负责人接待陪同。</w:t>
      </w:r>
    </w:p>
    <w:p w14:paraId="1BCD5856">
      <w:pPr>
        <w:keepNext w:val="0"/>
        <w:keepLines w:val="0"/>
        <w:pageBreakBefore w:val="0"/>
        <w:widowControl/>
        <w:kinsoku w:val="0"/>
        <w:wordWrap/>
        <w:overflowPunct/>
        <w:topLinePunct w:val="0"/>
        <w:autoSpaceDE w:val="0"/>
        <w:autoSpaceDN w:val="0"/>
        <w:bidi w:val="0"/>
        <w:adjustRightInd w:val="0"/>
        <w:snapToGrid w:val="0"/>
        <w:spacing w:before="216" w:line="520" w:lineRule="exact"/>
        <w:ind w:right="20" w:firstLine="660"/>
        <w:textAlignment w:val="baseline"/>
        <w:rPr>
          <w:rFonts w:hint="eastAsia" w:ascii="仿宋_GB2312" w:hAnsi="仿宋_GB2312" w:eastAsia="仿宋_GB2312" w:cs="仿宋_GB2312"/>
          <w:spacing w:val="3"/>
          <w:sz w:val="32"/>
          <w:szCs w:val="32"/>
        </w:rPr>
      </w:pPr>
      <w:r>
        <w:rPr>
          <w:rFonts w:hint="eastAsia" w:ascii="仿宋" w:hAnsi="仿宋" w:eastAsia="仿宋" w:cs="仿宋"/>
          <w:b w:val="0"/>
          <w:bCs w:val="0"/>
          <w:spacing w:val="9"/>
          <w:sz w:val="32"/>
          <w:szCs w:val="32"/>
          <w:lang w:val="en-US" w:eastAsia="zh-CN"/>
        </w:rPr>
        <w:t>3</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深入推进包容审慎监管和柔性执法。</w:t>
      </w:r>
      <w:r>
        <w:rPr>
          <w:rFonts w:hint="eastAsia" w:ascii="仿宋_GB2312" w:hAnsi="仿宋_GB2312" w:eastAsia="仿宋_GB2312" w:cs="仿宋_GB2312"/>
          <w:spacing w:val="3"/>
          <w:sz w:val="32"/>
          <w:szCs w:val="32"/>
        </w:rPr>
        <w:t>实施行政指导，认真落实不予行政处罚、减轻处罚、从轻处罚、轻微违法不予实施行政强制措施等“五张清单”</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进一步拓展柔性执法领域</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彰显执法温度，定期公布首违不罚典型案例，切实为民营企业“减负担</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减干扰”</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形成民营企业首次轻微违法行为免罚清单，落实民营企业首次轻微违法容错机制，最大限度降低对企业正常生产经营活动的不利影响。</w:t>
      </w:r>
    </w:p>
    <w:p w14:paraId="4FD4C659">
      <w:pPr>
        <w:keepNext w:val="0"/>
        <w:keepLines w:val="0"/>
        <w:pageBreakBefore w:val="0"/>
        <w:widowControl/>
        <w:kinsoku w:val="0"/>
        <w:wordWrap/>
        <w:overflowPunct/>
        <w:topLinePunct w:val="0"/>
        <w:autoSpaceDE w:val="0"/>
        <w:autoSpaceDN w:val="0"/>
        <w:bidi w:val="0"/>
        <w:adjustRightInd w:val="0"/>
        <w:snapToGrid w:val="0"/>
        <w:spacing w:before="178" w:line="520" w:lineRule="exact"/>
        <w:ind w:left="770"/>
        <w:textAlignment w:val="baseline"/>
        <w:rPr>
          <w:rFonts w:hint="eastAsia" w:ascii="楷体" w:hAnsi="楷体" w:eastAsia="楷体" w:cs="楷体"/>
          <w:b/>
          <w:bCs/>
          <w:spacing w:val="21"/>
          <w:sz w:val="32"/>
          <w:szCs w:val="32"/>
        </w:rPr>
      </w:pPr>
      <w:r>
        <w:rPr>
          <w:rFonts w:hint="eastAsia" w:ascii="楷体" w:hAnsi="楷体" w:eastAsia="楷体" w:cs="楷体"/>
          <w:b/>
          <w:bCs/>
          <w:spacing w:val="21"/>
          <w:sz w:val="32"/>
          <w:szCs w:val="32"/>
        </w:rPr>
        <w:t>(三)全面推广“体检式监管、服务型执法”</w:t>
      </w:r>
    </w:p>
    <w:p w14:paraId="5D026EC4">
      <w:pPr>
        <w:keepNext w:val="0"/>
        <w:keepLines w:val="0"/>
        <w:pageBreakBefore w:val="0"/>
        <w:widowControl/>
        <w:kinsoku w:val="0"/>
        <w:wordWrap/>
        <w:overflowPunct/>
        <w:topLinePunct w:val="0"/>
        <w:autoSpaceDE w:val="0"/>
        <w:autoSpaceDN w:val="0"/>
        <w:bidi w:val="0"/>
        <w:adjustRightInd w:val="0"/>
        <w:snapToGrid w:val="0"/>
        <w:spacing w:before="216" w:line="520" w:lineRule="exact"/>
        <w:ind w:right="20" w:firstLine="66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加强查前指导，对重点领域、重点环节、重点事项等高频违法事项梳理研判苗头性、倾向性、潜在性问题，编制合规经营指引，对同类行政检查对象进行预警、提醒、敦促</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加强查中指导，在行政检查过程中发现违法违规隐患的，应当开展行政指导，鼓励在告知行政检查结果的同时，同步“五书送达”</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开展查后指导，建立健全查后督导服务机制，通过行政检查对象“回头访”、行政检查事项“回头看”等强化查后跟踪指导，帮助行政检查对象合规经营，督促行政检查对象及时纠正违法违规行为，让监管有精度、检查有准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服务有温度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打造规范公正的法治环境、公平有序的竞争环境、便捷高效的营商环境、安全放心的消费环境。</w:t>
      </w:r>
    </w:p>
    <w:p w14:paraId="089A0A12">
      <w:pPr>
        <w:keepNext w:val="0"/>
        <w:keepLines w:val="0"/>
        <w:pageBreakBefore w:val="0"/>
        <w:widowControl/>
        <w:kinsoku w:val="0"/>
        <w:wordWrap/>
        <w:overflowPunct/>
        <w:topLinePunct w:val="0"/>
        <w:autoSpaceDE w:val="0"/>
        <w:autoSpaceDN w:val="0"/>
        <w:bidi w:val="0"/>
        <w:adjustRightInd w:val="0"/>
        <w:snapToGrid w:val="0"/>
        <w:spacing w:before="216" w:line="520" w:lineRule="exact"/>
        <w:ind w:right="20" w:firstLine="66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健全面对面交流机制。落实“信用+邀约”式监管新模式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对“无事不扰”企业请进来听取企业负责人意见建议。坚持民营普遍关注的共性问题，提出责任单位和具体解决措施。建立企业家列席重要会议制度、涉企政策制定征询机制，提高涉企政策制定的科学性和针对性。</w:t>
      </w:r>
    </w:p>
    <w:p w14:paraId="433264F0">
      <w:pPr>
        <w:keepNext w:val="0"/>
        <w:keepLines w:val="0"/>
        <w:pageBreakBefore w:val="0"/>
        <w:widowControl/>
        <w:kinsoku w:val="0"/>
        <w:wordWrap/>
        <w:overflowPunct/>
        <w:topLinePunct w:val="0"/>
        <w:autoSpaceDE w:val="0"/>
        <w:autoSpaceDN w:val="0"/>
        <w:bidi w:val="0"/>
        <w:adjustRightInd w:val="0"/>
        <w:snapToGrid w:val="0"/>
        <w:spacing w:before="216" w:line="520" w:lineRule="exact"/>
        <w:ind w:right="20" w:firstLine="66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3</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常态化入企问需帮扶。开展“千企万户结对帮扶”专项行动。充分发挥市场监管部门的桥梁纽带作用，持续推进重点企业对商户的结对帮扶工作，积极探索新的帮扶模式和机制</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积极宣传解读和督促落实惠企利企政策举措，问需问难于企</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力争现场解决。对一时难以解决的，梳理汇总后交由相关部门办理，并限期回复。</w:t>
      </w:r>
    </w:p>
    <w:p w14:paraId="36B9372B">
      <w:pPr>
        <w:keepNext w:val="0"/>
        <w:keepLines w:val="0"/>
        <w:pageBreakBefore w:val="0"/>
        <w:widowControl/>
        <w:kinsoku w:val="0"/>
        <w:wordWrap/>
        <w:overflowPunct/>
        <w:topLinePunct w:val="0"/>
        <w:autoSpaceDE w:val="0"/>
        <w:autoSpaceDN w:val="0"/>
        <w:bidi w:val="0"/>
        <w:adjustRightInd w:val="0"/>
        <w:snapToGrid w:val="0"/>
        <w:spacing w:before="17" w:line="520" w:lineRule="exact"/>
        <w:ind w:left="634"/>
        <w:textAlignment w:val="baseline"/>
        <w:outlineLvl w:val="2"/>
        <w:rPr>
          <w:rFonts w:hint="eastAsia" w:ascii="黑体" w:hAnsi="黑体" w:eastAsia="黑体" w:cs="黑体"/>
          <w:b w:val="0"/>
          <w:bCs w:val="0"/>
          <w:spacing w:val="5"/>
          <w:sz w:val="32"/>
          <w:szCs w:val="32"/>
        </w:rPr>
      </w:pPr>
      <w:r>
        <w:rPr>
          <w:rFonts w:hint="eastAsia" w:ascii="黑体" w:hAnsi="黑体" w:eastAsia="黑体" w:cs="黑体"/>
          <w:b w:val="0"/>
          <w:bCs w:val="0"/>
          <w:spacing w:val="5"/>
          <w:sz w:val="32"/>
          <w:szCs w:val="32"/>
        </w:rPr>
        <w:t>三、保障措施</w:t>
      </w:r>
    </w:p>
    <w:p w14:paraId="1CEEFFC8">
      <w:pPr>
        <w:keepNext w:val="0"/>
        <w:keepLines w:val="0"/>
        <w:pageBreakBefore w:val="0"/>
        <w:widowControl/>
        <w:kinsoku w:val="0"/>
        <w:wordWrap/>
        <w:overflowPunct/>
        <w:topLinePunct w:val="0"/>
        <w:autoSpaceDE w:val="0"/>
        <w:autoSpaceDN w:val="0"/>
        <w:bidi w:val="0"/>
        <w:adjustRightInd w:val="0"/>
        <w:snapToGrid w:val="0"/>
        <w:spacing w:before="178" w:line="520" w:lineRule="exact"/>
        <w:ind w:left="770"/>
        <w:textAlignment w:val="baseline"/>
        <w:rPr>
          <w:rFonts w:hint="eastAsia" w:ascii="楷体" w:hAnsi="楷体" w:eastAsia="楷体" w:cs="楷体"/>
          <w:b/>
          <w:bCs/>
          <w:spacing w:val="21"/>
          <w:sz w:val="32"/>
          <w:szCs w:val="32"/>
        </w:rPr>
      </w:pPr>
      <w:r>
        <w:rPr>
          <w:rFonts w:hint="eastAsia" w:ascii="楷体" w:hAnsi="楷体" w:eastAsia="楷体" w:cs="楷体"/>
          <w:b/>
          <w:bCs/>
          <w:spacing w:val="21"/>
          <w:sz w:val="32"/>
          <w:szCs w:val="32"/>
        </w:rPr>
        <w:t>(一)加强组织领导</w:t>
      </w:r>
    </w:p>
    <w:p w14:paraId="5494E66C">
      <w:pPr>
        <w:keepNext w:val="0"/>
        <w:keepLines w:val="0"/>
        <w:pageBreakBefore w:val="0"/>
        <w:widowControl/>
        <w:kinsoku w:val="0"/>
        <w:wordWrap/>
        <w:overflowPunct/>
        <w:topLinePunct w:val="0"/>
        <w:autoSpaceDE w:val="0"/>
        <w:autoSpaceDN w:val="0"/>
        <w:bidi w:val="0"/>
        <w:adjustRightInd w:val="0"/>
        <w:snapToGrid w:val="0"/>
        <w:spacing w:before="216" w:line="520" w:lineRule="exact"/>
        <w:ind w:right="20" w:firstLine="66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val="en-US" w:eastAsia="zh-CN"/>
        </w:rPr>
        <w:t>相关</w:t>
      </w:r>
      <w:r>
        <w:rPr>
          <w:rFonts w:hint="eastAsia" w:ascii="仿宋_GB2312" w:hAnsi="仿宋_GB2312" w:eastAsia="仿宋_GB2312" w:cs="仿宋_GB2312"/>
          <w:spacing w:val="3"/>
          <w:sz w:val="32"/>
          <w:szCs w:val="32"/>
        </w:rPr>
        <w:t>负责人亲自抓、负总责，确保工作有序、高效推进</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要明确各级、各岗位的具体职责，形成上下联动、齐抓共管的工作格局。</w:t>
      </w:r>
    </w:p>
    <w:p w14:paraId="05A6A07B">
      <w:pPr>
        <w:keepNext w:val="0"/>
        <w:keepLines w:val="0"/>
        <w:pageBreakBefore w:val="0"/>
        <w:widowControl/>
        <w:kinsoku w:val="0"/>
        <w:wordWrap/>
        <w:overflowPunct/>
        <w:topLinePunct w:val="0"/>
        <w:autoSpaceDE w:val="0"/>
        <w:autoSpaceDN w:val="0"/>
        <w:bidi w:val="0"/>
        <w:adjustRightInd w:val="0"/>
        <w:snapToGrid w:val="0"/>
        <w:spacing w:before="178" w:line="520" w:lineRule="exact"/>
        <w:ind w:left="770"/>
        <w:textAlignment w:val="baseline"/>
        <w:rPr>
          <w:rFonts w:hint="eastAsia" w:ascii="楷体" w:hAnsi="楷体" w:eastAsia="楷体" w:cs="楷体"/>
          <w:b/>
          <w:bCs/>
          <w:spacing w:val="21"/>
          <w:sz w:val="32"/>
          <w:szCs w:val="32"/>
        </w:rPr>
      </w:pPr>
      <w:r>
        <w:rPr>
          <w:rFonts w:hint="eastAsia" w:ascii="楷体" w:hAnsi="楷体" w:eastAsia="楷体" w:cs="楷体"/>
          <w:b/>
          <w:bCs/>
          <w:spacing w:val="21"/>
          <w:sz w:val="32"/>
          <w:szCs w:val="32"/>
        </w:rPr>
        <w:t>(二)做好宣传引导</w:t>
      </w:r>
    </w:p>
    <w:p w14:paraId="58B47C35">
      <w:pPr>
        <w:keepNext w:val="0"/>
        <w:keepLines w:val="0"/>
        <w:pageBreakBefore w:val="0"/>
        <w:widowControl/>
        <w:kinsoku w:val="0"/>
        <w:wordWrap/>
        <w:overflowPunct/>
        <w:topLinePunct w:val="0"/>
        <w:autoSpaceDE w:val="0"/>
        <w:autoSpaceDN w:val="0"/>
        <w:bidi w:val="0"/>
        <w:adjustRightInd w:val="0"/>
        <w:snapToGrid w:val="0"/>
        <w:spacing w:before="216" w:line="520" w:lineRule="exact"/>
        <w:ind w:right="20" w:firstLine="66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rPr>
        <w:t>要加大宣传力度。充分利用政府网站、新闻媒体等多种渠道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多种形式加大“无事不扰”企业名单的宣传力度，提高社会公众的知晓度和认可度</w:t>
      </w:r>
      <w:r>
        <w:rPr>
          <w:rFonts w:hint="eastAsia" w:ascii="仿宋_GB2312" w:hAnsi="仿宋_GB2312" w:eastAsia="仿宋_GB2312" w:cs="仿宋_GB2312"/>
          <w:spacing w:val="3"/>
          <w:sz w:val="32"/>
          <w:szCs w:val="32"/>
          <w:lang w:eastAsia="zh-CN"/>
        </w:rPr>
        <w:t>。</w:t>
      </w:r>
    </w:p>
    <w:p w14:paraId="5E65FFE9">
      <w:pPr>
        <w:keepNext w:val="0"/>
        <w:keepLines w:val="0"/>
        <w:pageBreakBefore w:val="0"/>
        <w:widowControl/>
        <w:kinsoku w:val="0"/>
        <w:wordWrap/>
        <w:overflowPunct/>
        <w:topLinePunct w:val="0"/>
        <w:autoSpaceDE w:val="0"/>
        <w:autoSpaceDN w:val="0"/>
        <w:bidi w:val="0"/>
        <w:adjustRightInd w:val="0"/>
        <w:snapToGrid w:val="0"/>
        <w:spacing w:before="98" w:line="520" w:lineRule="exact"/>
        <w:ind w:left="4" w:firstLine="656" w:firstLineChars="200"/>
        <w:textAlignment w:val="baseline"/>
        <w:rPr>
          <w:rFonts w:hint="eastAsia" w:ascii="仿宋" w:hAnsi="仿宋" w:eastAsia="仿宋" w:cs="仿宋"/>
          <w:spacing w:val="4"/>
          <w:sz w:val="32"/>
          <w:szCs w:val="32"/>
          <w:lang w:eastAsia="zh-CN"/>
        </w:rPr>
      </w:pPr>
    </w:p>
    <w:p w14:paraId="05E0E10E">
      <w:pPr>
        <w:keepNext w:val="0"/>
        <w:keepLines w:val="0"/>
        <w:pageBreakBefore w:val="0"/>
        <w:widowControl/>
        <w:kinsoku w:val="0"/>
        <w:wordWrap/>
        <w:overflowPunct/>
        <w:topLinePunct w:val="0"/>
        <w:autoSpaceDE w:val="0"/>
        <w:autoSpaceDN w:val="0"/>
        <w:bidi w:val="0"/>
        <w:adjustRightInd w:val="0"/>
        <w:snapToGrid w:val="0"/>
        <w:spacing w:before="98" w:line="520" w:lineRule="exact"/>
        <w:ind w:left="4" w:firstLine="656" w:firstLineChars="200"/>
        <w:textAlignment w:val="baseline"/>
        <w:rPr>
          <w:rFonts w:hint="eastAsia" w:ascii="仿宋" w:hAnsi="仿宋" w:eastAsia="仿宋" w:cs="仿宋"/>
          <w:spacing w:val="4"/>
          <w:sz w:val="32"/>
          <w:szCs w:val="32"/>
          <w:lang w:eastAsia="zh-CN"/>
        </w:rPr>
      </w:pPr>
    </w:p>
    <w:p w14:paraId="16808A9F">
      <w:pPr>
        <w:keepNext w:val="0"/>
        <w:keepLines w:val="0"/>
        <w:pageBreakBefore w:val="0"/>
        <w:widowControl/>
        <w:kinsoku w:val="0"/>
        <w:wordWrap/>
        <w:overflowPunct/>
        <w:topLinePunct w:val="0"/>
        <w:autoSpaceDE w:val="0"/>
        <w:autoSpaceDN w:val="0"/>
        <w:bidi w:val="0"/>
        <w:adjustRightInd w:val="0"/>
        <w:snapToGrid w:val="0"/>
        <w:spacing w:before="98" w:line="520" w:lineRule="exact"/>
        <w:ind w:right="1"/>
        <w:textAlignment w:val="baseline"/>
        <w:rPr>
          <w:rFonts w:ascii="仿宋" w:hAnsi="仿宋" w:eastAsia="仿宋" w:cs="仿宋"/>
          <w:sz w:val="30"/>
          <w:szCs w:val="30"/>
        </w:rPr>
      </w:pPr>
      <w:r>
        <w:rPr>
          <w:rFonts w:ascii="仿宋" w:hAnsi="仿宋" w:eastAsia="仿宋" w:cs="仿宋"/>
          <w:b/>
          <w:bCs/>
          <w:spacing w:val="11"/>
          <w:sz w:val="30"/>
          <w:szCs w:val="30"/>
        </w:rPr>
        <w:t>附件：《</w:t>
      </w:r>
      <w:r>
        <w:rPr>
          <w:rFonts w:hint="eastAsia" w:ascii="仿宋" w:hAnsi="仿宋" w:eastAsia="仿宋" w:cs="仿宋"/>
          <w:b/>
          <w:bCs/>
          <w:spacing w:val="11"/>
          <w:sz w:val="30"/>
          <w:szCs w:val="30"/>
          <w:lang w:val="en-US" w:eastAsia="zh-CN"/>
        </w:rPr>
        <w:t>奈曼旗</w:t>
      </w:r>
      <w:r>
        <w:rPr>
          <w:rFonts w:ascii="仿宋" w:hAnsi="仿宋" w:eastAsia="仿宋" w:cs="仿宋"/>
          <w:b/>
          <w:bCs/>
          <w:spacing w:val="11"/>
          <w:sz w:val="30"/>
          <w:szCs w:val="30"/>
        </w:rPr>
        <w:t>市场监督管理局公布</w:t>
      </w:r>
      <w:r>
        <w:rPr>
          <w:rFonts w:hint="eastAsia" w:ascii="仿宋" w:hAnsi="仿宋" w:eastAsia="仿宋" w:cs="仿宋"/>
          <w:b/>
          <w:bCs/>
          <w:spacing w:val="11"/>
          <w:sz w:val="30"/>
          <w:szCs w:val="30"/>
          <w:lang w:val="en-US" w:eastAsia="zh-CN"/>
        </w:rPr>
        <w:t>旗本级</w:t>
      </w:r>
      <w:r>
        <w:rPr>
          <w:rFonts w:ascii="仿宋" w:hAnsi="仿宋" w:eastAsia="仿宋" w:cs="仿宋"/>
          <w:b/>
          <w:bCs/>
          <w:spacing w:val="11"/>
          <w:sz w:val="30"/>
          <w:szCs w:val="30"/>
        </w:rPr>
        <w:t>“无事不扰”企</w:t>
      </w:r>
      <w:r>
        <w:rPr>
          <w:rFonts w:ascii="仿宋" w:hAnsi="仿宋" w:eastAsia="仿宋" w:cs="仿宋"/>
          <w:b/>
          <w:bCs/>
          <w:spacing w:val="21"/>
          <w:sz w:val="30"/>
          <w:szCs w:val="30"/>
        </w:rPr>
        <w:t>业清单</w:t>
      </w:r>
      <w:r>
        <w:rPr>
          <w:rFonts w:hint="eastAsia" w:ascii="仿宋" w:hAnsi="仿宋" w:eastAsia="仿宋" w:cs="仿宋"/>
          <w:b/>
          <w:bCs/>
          <w:spacing w:val="21"/>
          <w:sz w:val="30"/>
          <w:szCs w:val="30"/>
          <w:lang w:eastAsia="zh-CN"/>
        </w:rPr>
        <w:t>》</w:t>
      </w:r>
    </w:p>
    <w:p w14:paraId="7BF4CC46">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 w:hAnsi="仿宋" w:eastAsia="仿宋" w:cs="仿宋"/>
          <w:sz w:val="30"/>
          <w:szCs w:val="30"/>
        </w:rPr>
        <w:sectPr>
          <w:footerReference r:id="rId5" w:type="default"/>
          <w:pgSz w:w="11890" w:h="16220"/>
          <w:pgMar w:top="1378" w:right="1542" w:bottom="1057" w:left="1539" w:header="0" w:footer="759" w:gutter="0"/>
          <w:pgNumType w:fmt="decimal" w:start="1"/>
          <w:cols w:space="720" w:num="1"/>
        </w:sectPr>
      </w:pPr>
    </w:p>
    <w:p w14:paraId="4A6919BA">
      <w:pPr>
        <w:pStyle w:val="2"/>
        <w:spacing w:line="272" w:lineRule="auto"/>
      </w:pPr>
    </w:p>
    <w:p w14:paraId="0A5259E6">
      <w:pPr>
        <w:pStyle w:val="2"/>
        <w:spacing w:line="435" w:lineRule="auto"/>
      </w:pPr>
    </w:p>
    <w:p w14:paraId="1A80D986">
      <w:pPr>
        <w:spacing w:before="61" w:line="222" w:lineRule="auto"/>
        <w:rPr>
          <w:rFonts w:ascii="仿宋" w:hAnsi="仿宋" w:eastAsia="仿宋" w:cs="仿宋"/>
          <w:sz w:val="30"/>
          <w:szCs w:val="30"/>
        </w:rPr>
      </w:pPr>
      <w:r>
        <w:rPr>
          <w:rFonts w:ascii="仿宋" w:hAnsi="仿宋" w:eastAsia="仿宋" w:cs="仿宋"/>
          <w:b/>
          <w:bCs/>
          <w:spacing w:val="2"/>
          <w:sz w:val="30"/>
          <w:szCs w:val="30"/>
        </w:rPr>
        <w:t>附件</w:t>
      </w:r>
    </w:p>
    <w:p w14:paraId="5E499AA1">
      <w:pPr>
        <w:spacing w:before="159" w:line="221" w:lineRule="auto"/>
        <w:ind w:left="1880" w:firstLine="715" w:firstLineChars="200"/>
        <w:jc w:val="left"/>
        <w:rPr>
          <w:rFonts w:ascii="黑体" w:hAnsi="黑体" w:eastAsia="黑体" w:cs="黑体"/>
          <w:sz w:val="35"/>
          <w:szCs w:val="35"/>
        </w:rPr>
      </w:pPr>
      <w:r>
        <w:rPr>
          <w:rFonts w:hint="eastAsia" w:ascii="黑体" w:hAnsi="黑体" w:eastAsia="黑体" w:cs="黑体"/>
          <w:b/>
          <w:bCs/>
          <w:spacing w:val="3"/>
          <w:sz w:val="35"/>
          <w:szCs w:val="35"/>
          <w:lang w:val="en-US" w:eastAsia="zh-CN"/>
        </w:rPr>
        <w:t>奈曼旗</w:t>
      </w:r>
      <w:r>
        <w:rPr>
          <w:rFonts w:ascii="黑体" w:hAnsi="黑体" w:eastAsia="黑体" w:cs="黑体"/>
          <w:b/>
          <w:bCs/>
          <w:spacing w:val="3"/>
          <w:sz w:val="35"/>
          <w:szCs w:val="35"/>
        </w:rPr>
        <w:t>市场监督管理局公布</w:t>
      </w:r>
      <w:r>
        <w:rPr>
          <w:rFonts w:hint="eastAsia" w:ascii="黑体" w:hAnsi="黑体" w:eastAsia="黑体" w:cs="黑体"/>
          <w:b/>
          <w:bCs/>
          <w:spacing w:val="3"/>
          <w:sz w:val="35"/>
          <w:szCs w:val="35"/>
          <w:lang w:val="en-US" w:eastAsia="zh-CN"/>
        </w:rPr>
        <w:t>旗本</w:t>
      </w:r>
      <w:r>
        <w:rPr>
          <w:rFonts w:ascii="黑体" w:hAnsi="黑体" w:eastAsia="黑体" w:cs="黑体"/>
          <w:b/>
          <w:bCs/>
          <w:spacing w:val="3"/>
          <w:sz w:val="35"/>
          <w:szCs w:val="35"/>
        </w:rPr>
        <w:t>级“无事不扰”企</w:t>
      </w:r>
      <w:r>
        <w:rPr>
          <w:rFonts w:ascii="黑体" w:hAnsi="黑体" w:eastAsia="黑体" w:cs="黑体"/>
          <w:b/>
          <w:bCs/>
          <w:spacing w:val="2"/>
          <w:sz w:val="35"/>
          <w:szCs w:val="35"/>
        </w:rPr>
        <w:t>业清单</w:t>
      </w:r>
    </w:p>
    <w:p w14:paraId="49C18B66">
      <w:pPr>
        <w:spacing w:before="4"/>
      </w:pPr>
    </w:p>
    <w:p w14:paraId="24D11617">
      <w:pPr>
        <w:spacing w:before="3"/>
      </w:pPr>
    </w:p>
    <w:tbl>
      <w:tblPr>
        <w:tblStyle w:val="5"/>
        <w:tblpPr w:leftFromText="180" w:rightFromText="180" w:vertAnchor="text" w:horzAnchor="page" w:tblpX="1147" w:tblpY="110"/>
        <w:tblOverlap w:val="never"/>
        <w:tblW w:w="14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4737"/>
        <w:gridCol w:w="2512"/>
        <w:gridCol w:w="3984"/>
        <w:gridCol w:w="947"/>
        <w:gridCol w:w="1447"/>
      </w:tblGrid>
      <w:tr w14:paraId="5E54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74" w:type="dxa"/>
            <w:tcBorders>
              <w:top w:val="single" w:color="000000" w:sz="4" w:space="0"/>
              <w:left w:val="single" w:color="000000" w:sz="4" w:space="0"/>
              <w:bottom w:val="nil"/>
              <w:right w:val="single" w:color="000000" w:sz="4" w:space="0"/>
            </w:tcBorders>
            <w:shd w:val="clear" w:color="auto" w:fill="auto"/>
            <w:noWrap/>
            <w:vAlign w:val="center"/>
          </w:tcPr>
          <w:p w14:paraId="236401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4749" w:type="dxa"/>
            <w:tcBorders>
              <w:top w:val="single" w:color="000000" w:sz="4" w:space="0"/>
              <w:left w:val="single" w:color="000000" w:sz="4" w:space="0"/>
              <w:bottom w:val="nil"/>
              <w:right w:val="single" w:color="000000" w:sz="4" w:space="0"/>
            </w:tcBorders>
            <w:shd w:val="clear" w:color="auto" w:fill="auto"/>
            <w:noWrap/>
            <w:vAlign w:val="center"/>
          </w:tcPr>
          <w:p w14:paraId="2F50C6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市场主体名称</w:t>
            </w:r>
          </w:p>
        </w:tc>
        <w:tc>
          <w:tcPr>
            <w:tcW w:w="2390" w:type="dxa"/>
            <w:tcBorders>
              <w:top w:val="single" w:color="000000" w:sz="4" w:space="0"/>
              <w:left w:val="single" w:color="000000" w:sz="4" w:space="0"/>
              <w:bottom w:val="nil"/>
              <w:right w:val="single" w:color="000000" w:sz="4" w:space="0"/>
            </w:tcBorders>
            <w:shd w:val="clear" w:color="auto" w:fill="auto"/>
            <w:noWrap/>
            <w:vAlign w:val="center"/>
          </w:tcPr>
          <w:p w14:paraId="4310F2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统一代码</w:t>
            </w:r>
            <w:r>
              <w:rPr>
                <w:rFonts w:ascii="Arial" w:hAnsi="Arial" w:eastAsia="宋体" w:cs="Arial"/>
                <w:i w:val="0"/>
                <w:iCs w:val="0"/>
                <w:snapToGrid w:val="0"/>
                <w:color w:val="000000"/>
                <w:kern w:val="0"/>
                <w:sz w:val="24"/>
                <w:szCs w:val="24"/>
                <w:u w:val="non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注册号</w:t>
            </w:r>
          </w:p>
        </w:tc>
        <w:tc>
          <w:tcPr>
            <w:tcW w:w="3994" w:type="dxa"/>
            <w:tcBorders>
              <w:top w:val="single" w:color="000000" w:sz="4" w:space="0"/>
              <w:left w:val="single" w:color="000000" w:sz="4" w:space="0"/>
              <w:bottom w:val="nil"/>
              <w:right w:val="single" w:color="000000" w:sz="4" w:space="0"/>
            </w:tcBorders>
            <w:shd w:val="clear" w:color="auto" w:fill="auto"/>
            <w:noWrap/>
            <w:vAlign w:val="center"/>
          </w:tcPr>
          <w:p w14:paraId="69CB44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登记机关</w:t>
            </w:r>
          </w:p>
        </w:tc>
        <w:tc>
          <w:tcPr>
            <w:tcW w:w="949" w:type="dxa"/>
            <w:tcBorders>
              <w:top w:val="single" w:color="000000" w:sz="4" w:space="0"/>
              <w:left w:val="single" w:color="000000" w:sz="4" w:space="0"/>
              <w:bottom w:val="nil"/>
              <w:right w:val="single" w:color="000000" w:sz="4" w:space="0"/>
            </w:tcBorders>
            <w:shd w:val="clear" w:color="auto" w:fill="auto"/>
            <w:noWrap/>
            <w:vAlign w:val="center"/>
          </w:tcPr>
          <w:p w14:paraId="1D5F60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评价等级</w:t>
            </w:r>
          </w:p>
        </w:tc>
        <w:tc>
          <w:tcPr>
            <w:tcW w:w="1450" w:type="dxa"/>
            <w:tcBorders>
              <w:top w:val="single" w:color="000000" w:sz="4" w:space="0"/>
              <w:left w:val="single" w:color="000000" w:sz="4" w:space="0"/>
              <w:bottom w:val="nil"/>
              <w:right w:val="single" w:color="000000" w:sz="4" w:space="0"/>
            </w:tcBorders>
            <w:shd w:val="clear" w:color="auto" w:fill="auto"/>
            <w:noWrap/>
            <w:vAlign w:val="center"/>
          </w:tcPr>
          <w:p w14:paraId="35D4A8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信用风险类别</w:t>
            </w:r>
          </w:p>
        </w:tc>
      </w:tr>
      <w:tr w14:paraId="0E8D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8DF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CB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奈曼旗蒙龙砂产业有限公司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C08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91150525089557971U</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C46">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8D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C2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A1B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5E5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w:t>
            </w:r>
          </w:p>
        </w:tc>
        <w:tc>
          <w:tcPr>
            <w:tcW w:w="4749" w:type="dxa"/>
            <w:tcBorders>
              <w:top w:val="nil"/>
              <w:left w:val="single" w:color="000000" w:sz="4" w:space="0"/>
              <w:bottom w:val="single" w:color="000000" w:sz="4" w:space="0"/>
              <w:right w:val="single" w:color="000000" w:sz="4" w:space="0"/>
            </w:tcBorders>
            <w:shd w:val="clear" w:color="auto" w:fill="auto"/>
            <w:noWrap/>
            <w:vAlign w:val="center"/>
          </w:tcPr>
          <w:p w14:paraId="6087474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奈曼旗点石砂业有限公司</w:t>
            </w:r>
          </w:p>
        </w:tc>
        <w:tc>
          <w:tcPr>
            <w:tcW w:w="2390" w:type="dxa"/>
            <w:tcBorders>
              <w:top w:val="nil"/>
              <w:left w:val="single" w:color="000000" w:sz="4" w:space="0"/>
              <w:bottom w:val="single" w:color="000000" w:sz="4" w:space="0"/>
              <w:right w:val="single" w:color="000000" w:sz="4" w:space="0"/>
            </w:tcBorders>
            <w:shd w:val="clear" w:color="auto" w:fill="auto"/>
            <w:noWrap/>
            <w:vAlign w:val="center"/>
          </w:tcPr>
          <w:p w14:paraId="4A96192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91150525072579787L</w:t>
            </w:r>
          </w:p>
        </w:tc>
        <w:tc>
          <w:tcPr>
            <w:tcW w:w="3994" w:type="dxa"/>
            <w:tcBorders>
              <w:top w:val="nil"/>
              <w:left w:val="single" w:color="000000" w:sz="4" w:space="0"/>
              <w:bottom w:val="single" w:color="000000" w:sz="4" w:space="0"/>
              <w:right w:val="single" w:color="000000" w:sz="4" w:space="0"/>
            </w:tcBorders>
            <w:shd w:val="clear" w:color="auto" w:fill="auto"/>
            <w:noWrap/>
            <w:vAlign w:val="center"/>
          </w:tcPr>
          <w:p w14:paraId="5F490627">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nil"/>
              <w:left w:val="single" w:color="000000" w:sz="4" w:space="0"/>
              <w:bottom w:val="single" w:color="000000" w:sz="4" w:space="0"/>
              <w:right w:val="single" w:color="000000" w:sz="4" w:space="0"/>
            </w:tcBorders>
            <w:shd w:val="clear" w:color="auto" w:fill="auto"/>
            <w:noWrap/>
            <w:vAlign w:val="center"/>
          </w:tcPr>
          <w:p w14:paraId="51F9FB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nil"/>
              <w:left w:val="single" w:color="000000" w:sz="4" w:space="0"/>
              <w:bottom w:val="single" w:color="000000" w:sz="4" w:space="0"/>
              <w:right w:val="single" w:color="000000" w:sz="4" w:space="0"/>
            </w:tcBorders>
            <w:shd w:val="clear" w:color="auto" w:fill="auto"/>
            <w:noWrap/>
            <w:vAlign w:val="center"/>
          </w:tcPr>
          <w:p w14:paraId="1C1059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5921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775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483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内蒙古哈达建设集团农牧业有限公司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E31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911505253184733427</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A100">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28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5C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11D2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3C9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4</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AE9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奈曼旗忠義砂产业有限公司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D02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91150525MA0MY1J9X2</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79DF">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68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E9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978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DB6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5</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491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奈曼旗宏基水泥有限公司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2B1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91150525776126153L</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BB0F">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87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0D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33DD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ED4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6</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48E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内蒙古蒙古包食品有限公司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036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91150525057818583R</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A0AF">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98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8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1D44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5B5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7</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46E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通辽中联水泥有限公司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7D9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91150525767899824E</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32B4">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C7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1E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68BB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A51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8</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2F7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内蒙古沃禾农产品有限公司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DC4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91150525MA0MX5A636</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9351">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8C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2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1AA7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960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EE2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奈曼旗华强供热有限公司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FB6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91150525793626627Q</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38D1">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1A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64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2663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3FC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10</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4D1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通辽市泰和路桥工程有限公司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8C6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9115052555281984X8</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B2A">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A1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F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22C3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06C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11</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207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内蒙古五丰食品有限公司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5AF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91150525MA0NEJ073T</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3C52">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3C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1C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C9D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B5B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12</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33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奈曼旗北方建筑工程有限责任公司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6D8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91150525116004492M</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56DE">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3D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AA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6337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BF3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13</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727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内蒙古蒙珍林产品有限公司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EE4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91150525MA0NC6QK9U</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27A">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49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2F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2CD8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C2A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14</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49D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内蒙古达仁康药材种植有限公司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802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91150525MA0PU5QR3Y</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887A">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43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C1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0780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34A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15</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9D5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内蒙古草原之秀服务有限公司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657E">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911505255669214908</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93D">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19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2A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C0A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B55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16</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300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内蒙古草原天蒙酒业有限公司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767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91150525065049972U</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F07A">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61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5E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23A2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7A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17</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D664">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内蒙古老哈河粮油工业有限责任公司老哈河粮店明仁店</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8C4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91150525MA0MXYLP8L</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7FE2">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00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A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AA9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C59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18</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EE3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奈曼旗广汇矿业有限公司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F5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91150525057846752P</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F12A">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5B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2B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0A09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734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19</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441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奈曼旗广源水工建筑有限责任公司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865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91150525743888338K</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D1F4">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59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9E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3FBB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812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20</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68C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奈曼旗海日罕酒业有限责任公司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D7E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91150525MA0N2XM92K</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44CF">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01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91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4FD8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DDD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21</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CB2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奈曼旗龙泉酒业有限公司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3F1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91150525701386874P</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EE36">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4A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FA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569B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0AA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22</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581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内蒙古航悦空港服务有限公司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727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91150525MA0NQG0B3X</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06BD">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E7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F8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049F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E1B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23</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2E5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内蒙古金土测绘有限公司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41A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9115052506162719XW</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306F">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B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5A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3071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E8D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24</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610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内蒙古母子湖文化发展有限公司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DCB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91150525686526444Q</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B276">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69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89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971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E93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25</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A81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奈曼旗兄弟生物牧业有限公司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405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91150525085176928H</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BF52">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33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94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6A65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334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26</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45D5">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奈曼旗茂杨实业有限公司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5CA">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9115052508219854X9</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3D38">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BB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C4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1057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F73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27</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3E3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通辽市东兴风盈风电科技有限公司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FFA8">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911505256800195727</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D296">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03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9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3E57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FFA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28</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425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通辽市博浩生物科技有限公司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1BF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91150525570606530H</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247F">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60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67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7F16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87F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29</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F86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奈曼旗嘉汇房地产开发有限公司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D63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911505256900606673</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9C9C">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15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59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49F1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7DD0">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30</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6E6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奈曼旗中晟商贸有限公司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9A9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91150525050580621C</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2015">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E9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8E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595C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2C0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31</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99A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奈曼旗汇特光伏发电有限责任公司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586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911505253184337546</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B285">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D9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0D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4AC2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CE3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32</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6C93">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奈曼旗兴达房地产开发有限公司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27E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911505257794658202</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1783">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02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1E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65C9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ED7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33</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985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通辽市仁创铸造材料有限公司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04AF">
            <w:pPr>
              <w:keepNext w:val="0"/>
              <w:keepLines w:val="0"/>
              <w:widowControl/>
              <w:suppressLineNumbers w:val="0"/>
              <w:jc w:val="center"/>
              <w:textAlignment w:val="bottom"/>
              <w:rPr>
                <w:rFonts w:hint="default" w:ascii="Arial" w:hAnsi="Arial" w:eastAsia="宋体" w:cs="Arial"/>
                <w:i w:val="0"/>
                <w:iCs w:val="0"/>
                <w:color w:val="000000"/>
                <w:sz w:val="20"/>
                <w:szCs w:val="20"/>
                <w:u w:val="none"/>
                <w:lang w:val="en-US"/>
              </w:rPr>
            </w:pPr>
            <w:r>
              <w:rPr>
                <w:rFonts w:hint="default" w:ascii="Arial" w:hAnsi="Arial" w:eastAsia="宋体" w:cs="Arial"/>
                <w:i w:val="0"/>
                <w:iCs w:val="0"/>
                <w:snapToGrid w:val="0"/>
                <w:color w:val="000000"/>
                <w:kern w:val="0"/>
                <w:sz w:val="20"/>
                <w:szCs w:val="20"/>
                <w:u w:val="none"/>
                <w:lang w:val="en-US" w:eastAsia="zh-CN" w:bidi="ar"/>
              </w:rPr>
              <w:t>91150525MA0MWE9G8</w:t>
            </w:r>
            <w:r>
              <w:rPr>
                <w:rFonts w:hint="eastAsia" w:eastAsia="宋体" w:cs="Arial"/>
                <w:i w:val="0"/>
                <w:iCs w:val="0"/>
                <w:snapToGrid w:val="0"/>
                <w:color w:val="000000"/>
                <w:kern w:val="0"/>
                <w:sz w:val="20"/>
                <w:szCs w:val="20"/>
                <w:u w:val="none"/>
                <w:lang w:val="en-US" w:eastAsia="zh-CN" w:bidi="ar"/>
              </w:rPr>
              <w:t>K</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665D">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D0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3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3A84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4DD7">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34</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7016">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通辽市乃曼宾馆有限责任公司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3F3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91150525116002083J</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EE66">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AC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3C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0C04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505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35</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BEA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通辽市正宏房屋建筑工程施工有限责任公司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EA72">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91150525116000141F</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68DA">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8E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EA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15EA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FE6B">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36</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F64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通辽市仁信砂产品开发有限公司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AE5D">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91150525099050541L</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949E">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21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16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5246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E4A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37</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76E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通辽金泉食品有限责任公司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D601">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9115052577945462XH</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880B">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奈曼旗市场监督管理局（奈曼旗知识产权局）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33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19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r w14:paraId="11C2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E06F">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38</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0629">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通辽市奈曼旗旺达小额贷款有限公司</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964C">
            <w:pPr>
              <w:keepNext w:val="0"/>
              <w:keepLines w:val="0"/>
              <w:widowControl/>
              <w:suppressLineNumbers w:val="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91150525683444961R</w:t>
            </w:r>
          </w:p>
        </w:tc>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87C8">
            <w:pPr>
              <w:keepNext w:val="0"/>
              <w:keepLines w:val="0"/>
              <w:widowControl/>
              <w:suppressLineNumbers w:val="0"/>
              <w:jc w:val="both"/>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奈曼旗市场监督管理局</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C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优</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4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信用风险低</w:t>
            </w:r>
          </w:p>
        </w:tc>
      </w:tr>
    </w:tbl>
    <w:p w14:paraId="06B68143">
      <w:pPr>
        <w:spacing w:before="3"/>
      </w:pPr>
    </w:p>
    <w:p w14:paraId="50821291">
      <w:pPr>
        <w:spacing w:before="3"/>
      </w:pPr>
    </w:p>
    <w:p w14:paraId="428503CF">
      <w:pPr>
        <w:pStyle w:val="2"/>
        <w:spacing w:line="86" w:lineRule="exact"/>
        <w:rPr>
          <w:sz w:val="7"/>
        </w:rPr>
      </w:pPr>
    </w:p>
    <w:sectPr>
      <w:footerReference r:id="rId6" w:type="default"/>
      <w:pgSz w:w="16300" w:h="11910"/>
      <w:pgMar w:top="555" w:right="1037" w:bottom="1127" w:left="1080" w:header="0" w:footer="8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F6EA28-5977-41D5-860F-B2F66D01D95D}"/>
  </w:font>
  <w:font w:name="黑体">
    <w:panose1 w:val="02010609060101010101"/>
    <w:charset w:val="86"/>
    <w:family w:val="auto"/>
    <w:pitch w:val="default"/>
    <w:sig w:usb0="800002BF" w:usb1="38CF7CFA" w:usb2="00000016" w:usb3="00000000" w:csb0="00040001" w:csb1="00000000"/>
    <w:embedRegular r:id="rId2" w:fontKey="{02591ABB-D789-4B7D-87A0-349328F981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CD14EFF-EDB4-433D-AA31-AB1EF2AC6A6A}"/>
  </w:font>
  <w:font w:name="方正小标宋简体">
    <w:panose1 w:val="03000509000000000000"/>
    <w:charset w:val="86"/>
    <w:family w:val="auto"/>
    <w:pitch w:val="default"/>
    <w:sig w:usb0="00000001" w:usb1="080E0000" w:usb2="00000000" w:usb3="00000000" w:csb0="00040000" w:csb1="00000000"/>
    <w:embedRegular r:id="rId4" w:fontKey="{0BB2C2FF-EFBA-4921-8094-798188EF2777}"/>
  </w:font>
  <w:font w:name="仿宋">
    <w:panose1 w:val="02010609060101010101"/>
    <w:charset w:val="86"/>
    <w:family w:val="auto"/>
    <w:pitch w:val="default"/>
    <w:sig w:usb0="800002BF" w:usb1="38CF7CFA" w:usb2="00000016" w:usb3="00000000" w:csb0="00040001" w:csb1="00000000"/>
    <w:embedRegular r:id="rId5" w:fontKey="{9A02AD65-9C68-4F38-AEC4-8D046327B61D}"/>
  </w:font>
  <w:font w:name="楷体">
    <w:panose1 w:val="02010609060101010101"/>
    <w:charset w:val="86"/>
    <w:family w:val="auto"/>
    <w:pitch w:val="default"/>
    <w:sig w:usb0="800002BF" w:usb1="38CF7CFA" w:usb2="00000016" w:usb3="00000000" w:csb0="00040001" w:csb1="00000000"/>
    <w:embedRegular r:id="rId6" w:fontKey="{9FFF301E-4D64-46C1-96E2-175FD2269F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2A7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4FCE4">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4FCE4">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E7D7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23E0A">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B23E0A">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5D17EF"/>
    <w:rsid w:val="038D16A3"/>
    <w:rsid w:val="142C17D0"/>
    <w:rsid w:val="2AAA0241"/>
    <w:rsid w:val="2BCC767E"/>
    <w:rsid w:val="33120D10"/>
    <w:rsid w:val="3AA23256"/>
    <w:rsid w:val="414B5D98"/>
    <w:rsid w:val="41517B50"/>
    <w:rsid w:val="41EE0DA5"/>
    <w:rsid w:val="41F85C54"/>
    <w:rsid w:val="4A864AFD"/>
    <w:rsid w:val="4E7A03FC"/>
    <w:rsid w:val="4F980081"/>
    <w:rsid w:val="526E6E5E"/>
    <w:rsid w:val="54274100"/>
    <w:rsid w:val="5A80240E"/>
    <w:rsid w:val="5CF94D3E"/>
    <w:rsid w:val="64371C45"/>
    <w:rsid w:val="6A8360FA"/>
    <w:rsid w:val="6CCD19BD"/>
    <w:rsid w:val="7064352D"/>
    <w:rsid w:val="71F425EE"/>
    <w:rsid w:val="78E8138D"/>
    <w:rsid w:val="7A307DF6"/>
    <w:rsid w:val="7D015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2865</Words>
  <Characters>3227</Characters>
  <TotalTime>17</TotalTime>
  <ScaleCrop>false</ScaleCrop>
  <LinksUpToDate>false</LinksUpToDate>
  <CharactersWithSpaces>3227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2025-07-30T15:50:00Z</dcterms:created>
  <dc:creator>lenovo</dc:creator>
  <cp:lastModifiedBy>办公室</cp:lastModifiedBy>
  <cp:lastPrinted>2025-08-21T07:11:02Z</cp:lastPrinted>
  <dcterms:modified xsi:type="dcterms:W3CDTF">2025-08-21T07:13:02Z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2025-07-30T15:50:15Z</vt:filetime>
  </property>
  <property fmtid="{D5CDD505-2E9C-101B-9397-08002B2CF9AE}" pid="4" name="UsrData">
    <vt:lpwstr>6889ceaf7d359c001f01556awl</vt:lpwstr>
  </property>
  <property fmtid="{D5CDD505-2E9C-101B-9397-08002B2CF9AE}" pid="5" name="KSOTemplateDocerSaveRecord">
    <vt:lpwstr>eyJoZGlkIjoiMDViNTU0MGYxZTVkNDU1ZmI1NDM4MjNjY2YzYWJiNjgiLCJ1c2VySWQiOiIxNDQ0NDQ5ODUxIn0=</vt:lpwstr>
  </property>
  <property fmtid="{D5CDD505-2E9C-101B-9397-08002B2CF9AE}" pid="6" name="KSOProductBuildVer">
    <vt:lpwstr>2052-12.1.0.21915</vt:lpwstr>
  </property>
  <property fmtid="{D5CDD505-2E9C-101B-9397-08002B2CF9AE}" pid="7" name="ICV">
    <vt:lpwstr>4C1DFDD6956D4B0D8FCC061A84B6EA99_13</vt:lpwstr>
  </property>
</Properties>
</file>