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b/>
          <w:bCs/>
          <w:sz w:val="52"/>
          <w:szCs w:val="52"/>
        </w:rPr>
      </w:pPr>
      <w:r>
        <w:rPr>
          <w:rFonts w:ascii="宋体" w:hAnsi="宋体"/>
          <w:b/>
          <w:bCs/>
          <w:sz w:val="52"/>
          <w:szCs w:val="52"/>
        </w:rPr>
        <w:t>2024</w:t>
      </w:r>
      <w:r>
        <w:rPr>
          <w:rFonts w:hint="eastAsia" w:ascii="宋体" w:hAnsi="宋体"/>
          <w:b/>
          <w:bCs/>
          <w:sz w:val="52"/>
          <w:szCs w:val="52"/>
        </w:rPr>
        <w:t>年度奈曼旗东明镇人民政府</w:t>
      </w:r>
    </w:p>
    <w:p>
      <w:pPr>
        <w:spacing w:line="360" w:lineRule="auto"/>
        <w:jc w:val="center"/>
        <w:rPr>
          <w:rFonts w:ascii="宋体" w:hAnsi="宋体"/>
          <w:b/>
          <w:bCs/>
          <w:sz w:val="52"/>
          <w:szCs w:val="52"/>
        </w:rPr>
      </w:pPr>
      <w:r>
        <w:rPr>
          <w:rFonts w:hint="eastAsia" w:ascii="宋体" w:hAnsi="宋体"/>
          <w:b/>
          <w:bCs/>
          <w:sz w:val="52"/>
          <w:szCs w:val="52"/>
        </w:rPr>
        <w:t>分析报告</w:t>
      </w: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ind w:firstLine="2240" w:firstLineChars="700"/>
        <w:jc w:val="left"/>
        <w:rPr>
          <w:rFonts w:ascii="宋体" w:hAnsi="宋体"/>
          <w:sz w:val="32"/>
          <w:szCs w:val="32"/>
        </w:rPr>
      </w:pPr>
      <w:r>
        <w:rPr>
          <w:rFonts w:hint="eastAsia" w:ascii="宋体" w:hAnsi="宋体"/>
          <w:sz w:val="32"/>
          <w:szCs w:val="32"/>
        </w:rPr>
        <w:t>部门（单位）名称：奈曼旗东明镇人民政府</w:t>
      </w:r>
    </w:p>
    <w:p>
      <w:pPr>
        <w:spacing w:line="360" w:lineRule="auto"/>
        <w:ind w:firstLine="2240" w:firstLineChars="700"/>
        <w:jc w:val="left"/>
        <w:rPr>
          <w:rFonts w:ascii="宋体" w:hAnsi="宋体"/>
          <w:sz w:val="32"/>
          <w:szCs w:val="32"/>
        </w:rPr>
      </w:pPr>
      <w:r>
        <w:rPr>
          <w:rFonts w:hint="eastAsia" w:ascii="宋体" w:hAnsi="宋体"/>
          <w:sz w:val="32"/>
          <w:szCs w:val="32"/>
        </w:rPr>
        <w:t>单位负责人：路凤海</w:t>
      </w:r>
    </w:p>
    <w:p>
      <w:pPr>
        <w:spacing w:line="360" w:lineRule="auto"/>
        <w:ind w:firstLine="2240" w:firstLineChars="700"/>
        <w:jc w:val="left"/>
        <w:rPr>
          <w:rFonts w:ascii="宋体" w:hAnsi="宋体"/>
          <w:sz w:val="32"/>
          <w:szCs w:val="32"/>
        </w:rPr>
      </w:pPr>
      <w:r>
        <w:rPr>
          <w:rFonts w:hint="eastAsia" w:ascii="宋体" w:hAnsi="宋体"/>
          <w:sz w:val="32"/>
          <w:szCs w:val="32"/>
        </w:rPr>
        <w:t>财务负责人：李建华</w:t>
      </w:r>
    </w:p>
    <w:p>
      <w:pPr>
        <w:spacing w:line="360" w:lineRule="auto"/>
        <w:ind w:firstLine="2240" w:firstLineChars="700"/>
        <w:jc w:val="left"/>
        <w:rPr>
          <w:rFonts w:ascii="宋体" w:hAnsi="宋体"/>
          <w:sz w:val="32"/>
          <w:szCs w:val="32"/>
        </w:rPr>
      </w:pPr>
      <w:r>
        <w:rPr>
          <w:rFonts w:hint="eastAsia" w:ascii="宋体" w:hAnsi="宋体"/>
          <w:sz w:val="32"/>
          <w:szCs w:val="32"/>
        </w:rPr>
        <w:t>编制人：张硕</w:t>
      </w:r>
    </w:p>
    <w:p>
      <w:pPr>
        <w:spacing w:line="360" w:lineRule="auto"/>
        <w:ind w:firstLine="2240" w:firstLineChars="700"/>
        <w:jc w:val="left"/>
        <w:rPr>
          <w:rFonts w:ascii="宋体" w:hAnsi="宋体"/>
          <w:sz w:val="32"/>
          <w:szCs w:val="32"/>
        </w:rPr>
      </w:pPr>
      <w:r>
        <w:rPr>
          <w:rFonts w:hint="eastAsia" w:ascii="宋体" w:hAnsi="宋体"/>
          <w:sz w:val="32"/>
          <w:szCs w:val="32"/>
        </w:rPr>
        <w:t>报送日期：</w:t>
      </w:r>
      <w:r>
        <w:rPr>
          <w:rFonts w:ascii="宋体" w:hAnsi="宋体"/>
          <w:sz w:val="32"/>
          <w:szCs w:val="32"/>
        </w:rPr>
        <w:t>2025</w:t>
      </w:r>
      <w:r>
        <w:rPr>
          <w:rFonts w:hint="eastAsia" w:ascii="宋体" w:hAnsi="宋体"/>
          <w:sz w:val="32"/>
          <w:szCs w:val="32"/>
        </w:rPr>
        <w:t>年2月</w:t>
      </w:r>
    </w:p>
    <w:p>
      <w:pPr>
        <w:ind w:firstLine="2249" w:firstLineChars="700"/>
        <w:rPr>
          <w:rFonts w:ascii="仿宋" w:hAnsi="仿宋" w:eastAsia="仿宋"/>
          <w:b/>
          <w:sz w:val="32"/>
          <w:szCs w:val="32"/>
        </w:rPr>
        <w:sectPr>
          <w:footerReference r:id="rId3" w:type="default"/>
          <w:pgSz w:w="11906" w:h="16838"/>
          <w:pgMar w:top="1440" w:right="1083" w:bottom="1440" w:left="1083" w:header="0" w:footer="720" w:gutter="0"/>
          <w:cols w:space="425" w:num="1"/>
          <w:docGrid w:type="lines" w:linePitch="312" w:charSpace="0"/>
        </w:sectPr>
      </w:pPr>
    </w:p>
    <w:p>
      <w:pPr>
        <w:adjustRightInd w:val="0"/>
        <w:snapToGrid w:val="0"/>
        <w:rPr>
          <w:rFonts w:ascii="宋体" w:hAnsi="宋体"/>
          <w:b/>
          <w:sz w:val="32"/>
          <w:szCs w:val="32"/>
        </w:rPr>
      </w:pPr>
    </w:p>
    <w:p>
      <w:pPr>
        <w:adjustRightInd w:val="0"/>
        <w:snapToGrid w:val="0"/>
        <w:jc w:val="center"/>
      </w:pPr>
    </w:p>
    <w:p>
      <w:pPr>
        <w:adjustRightInd w:val="0"/>
        <w:snapToGrid w:val="0"/>
        <w:rPr>
          <w:rFonts w:ascii="宋体" w:hAnsi="宋体"/>
          <w:b/>
          <w:sz w:val="32"/>
          <w:szCs w:val="32"/>
        </w:rPr>
      </w:pPr>
    </w:p>
    <w:p>
      <w:pPr>
        <w:pStyle w:val="2"/>
      </w:pPr>
      <w:r>
        <w:rPr>
          <w:rFonts w:hint="eastAsia"/>
        </w:rPr>
        <w:t>分析报告</w:t>
      </w:r>
    </w:p>
    <w:p>
      <w:pPr>
        <w:pStyle w:val="2"/>
        <w:keepNext w:val="0"/>
        <w:keepLines w:val="0"/>
        <w:widowControl/>
        <w:spacing w:before="0" w:after="322" w:line="240" w:lineRule="auto"/>
        <w:jc w:val="center"/>
        <w:rPr>
          <w:rFonts w:ascii="Times New Roman" w:hAnsi="Times New Roman" w:eastAsia="Times New Roman" w:cs="Times New Roman"/>
          <w:b/>
          <w:bCs/>
          <w:kern w:val="0"/>
          <w:sz w:val="48"/>
          <w:szCs w:val="48"/>
        </w:rPr>
      </w:pPr>
      <w:bookmarkStart w:id="0" w:name="a000"/>
      <w:r>
        <w:rPr>
          <w:rFonts w:ascii="Times New Roman" w:hAnsi="Times New Roman" w:eastAsia="Times New Roman" w:cs="Times New Roman"/>
          <w:kern w:val="36"/>
          <w:sz w:val="48"/>
          <w:szCs w:val="48"/>
        </w:rPr>
        <w:t>2024</w:t>
      </w:r>
      <w:r>
        <w:rPr>
          <w:rFonts w:ascii="宋体" w:hAnsi="宋体" w:eastAsia="宋体" w:cs="宋体"/>
          <w:kern w:val="36"/>
          <w:sz w:val="48"/>
          <w:szCs w:val="48"/>
        </w:rPr>
        <w:t>年度部门决算分析报告</w:t>
      </w:r>
    </w:p>
    <w:p>
      <w:pPr>
        <w:widowControl/>
        <w:spacing w:before="240" w:after="240"/>
        <w:jc w:val="left"/>
        <w:rPr>
          <w:rFonts w:ascii="Times New Roman" w:hAnsi="Times New Roman" w:eastAsia="Times New Roman" w:cs="Times New Roman"/>
          <w:kern w:val="0"/>
          <w:sz w:val="24"/>
        </w:rPr>
      </w:pPr>
    </w:p>
    <w:p>
      <w:pPr>
        <w:pStyle w:val="3"/>
        <w:keepNext w:val="0"/>
        <w:keepLines w:val="0"/>
        <w:widowControl/>
        <w:spacing w:before="299" w:after="299" w:line="240" w:lineRule="auto"/>
        <w:jc w:val="left"/>
        <w:rPr>
          <w:rFonts w:ascii="Times New Roman" w:hAnsi="Times New Roman" w:eastAsia="Times New Roman" w:cs="Times New Roman"/>
          <w:b/>
          <w:bCs/>
          <w:kern w:val="0"/>
          <w:sz w:val="36"/>
          <w:szCs w:val="36"/>
        </w:rPr>
      </w:pPr>
      <w:r>
        <w:rPr>
          <w:rFonts w:ascii="宋体" w:hAnsi="宋体" w:eastAsia="宋体" w:cs="宋体"/>
          <w:kern w:val="0"/>
          <w:sz w:val="36"/>
          <w:szCs w:val="36"/>
        </w:rPr>
        <w:t>一、部门情况</w:t>
      </w:r>
    </w:p>
    <w:p>
      <w:pPr>
        <w:pStyle w:val="4"/>
        <w:keepNext w:val="0"/>
        <w:keepLines w:val="0"/>
        <w:widowControl/>
        <w:spacing w:before="281" w:after="281" w:line="240" w:lineRule="auto"/>
        <w:jc w:val="left"/>
        <w:rPr>
          <w:rFonts w:ascii="Times New Roman" w:hAnsi="Times New Roman" w:eastAsia="Times New Roman" w:cs="Times New Roman"/>
          <w:b/>
          <w:bCs/>
          <w:kern w:val="0"/>
          <w:sz w:val="28"/>
          <w:szCs w:val="28"/>
        </w:rPr>
      </w:pPr>
      <w:r>
        <w:rPr>
          <w:rFonts w:ascii="Times New Roman" w:hAnsi="Times New Roman" w:eastAsia="Times New Roman" w:cs="Times New Roman"/>
          <w:kern w:val="0"/>
          <w:sz w:val="28"/>
          <w:szCs w:val="28"/>
        </w:rPr>
        <w:t>       </w:t>
      </w:r>
      <w:r>
        <w:rPr>
          <w:rFonts w:ascii="黑体" w:hAnsi="黑体" w:eastAsia="黑体" w:cs="黑体"/>
          <w:kern w:val="0"/>
          <w:sz w:val="27"/>
          <w:szCs w:val="27"/>
        </w:rPr>
        <w:t>（一）基本情况。</w:t>
      </w:r>
    </w:p>
    <w:p>
      <w:pPr>
        <w:widowControl/>
        <w:spacing w:before="240" w:after="240"/>
        <w:jc w:val="left"/>
        <w:rPr>
          <w:rFonts w:ascii="仿宋_GB2312" w:hAnsi="仿宋_GB2312" w:eastAsia="仿宋_GB2312" w:cs="仿宋_GB2312"/>
          <w:b w:val="0"/>
          <w:bCs w:val="0"/>
          <w:kern w:val="0"/>
          <w:sz w:val="27"/>
          <w:szCs w:val="27"/>
        </w:rPr>
      </w:pPr>
      <w:r>
        <w:rPr>
          <w:rFonts w:ascii="Times New Roman" w:hAnsi="Times New Roman" w:eastAsia="Times New Roman" w:cs="Times New Roman"/>
          <w:b w:val="0"/>
          <w:bCs w:val="0"/>
          <w:kern w:val="0"/>
          <w:sz w:val="24"/>
        </w:rPr>
        <w:t>            </w:t>
      </w:r>
      <w:r>
        <w:rPr>
          <w:rFonts w:ascii="仿宋_GB2312" w:hAnsi="仿宋_GB2312" w:eastAsia="仿宋_GB2312" w:cs="仿宋_GB2312"/>
          <w:b w:val="0"/>
          <w:bCs w:val="0"/>
          <w:kern w:val="0"/>
          <w:sz w:val="27"/>
          <w:szCs w:val="27"/>
        </w:rPr>
        <w:t>1．主要职能。</w:t>
      </w:r>
    </w:p>
    <w:p>
      <w:pPr>
        <w:keepNext w:val="0"/>
        <w:keepLines w:val="0"/>
        <w:pageBreakBefore w:val="0"/>
        <w:widowControl/>
        <w:kinsoku/>
        <w:wordWrap/>
        <w:overflowPunct/>
        <w:topLinePunct w:val="0"/>
        <w:autoSpaceDE/>
        <w:autoSpaceDN/>
        <w:bidi w:val="0"/>
        <w:adjustRightInd/>
        <w:snapToGrid/>
        <w:spacing w:before="240" w:after="240"/>
        <w:ind w:firstLine="540" w:firstLineChars="200"/>
        <w:jc w:val="left"/>
        <w:textAlignment w:val="auto"/>
        <w:rPr>
          <w:rFonts w:hint="eastAsia" w:ascii="仿宋_GB2312" w:hAnsi="仿宋_GB2312" w:eastAsia="仿宋_GB2312" w:cs="仿宋_GB2312"/>
          <w:b w:val="0"/>
          <w:bCs w:val="0"/>
          <w:kern w:val="0"/>
          <w:sz w:val="27"/>
          <w:szCs w:val="27"/>
        </w:rPr>
      </w:pPr>
      <w:r>
        <w:rPr>
          <w:rFonts w:hint="eastAsia" w:ascii="仿宋_GB2312" w:hAnsi="仿宋_GB2312" w:eastAsia="仿宋_GB2312" w:cs="仿宋_GB2312"/>
          <w:b w:val="0"/>
          <w:bCs w:val="0"/>
          <w:kern w:val="0"/>
          <w:sz w:val="27"/>
          <w:szCs w:val="27"/>
        </w:rPr>
        <w:t>（一） 执行国家行政机关的决定、命令和国家制定的法令、法规，执行本级人民代表大会的各项决议，并报告执行决议、决定和命令的情况。</w:t>
      </w:r>
    </w:p>
    <w:p>
      <w:pPr>
        <w:keepNext w:val="0"/>
        <w:keepLines w:val="0"/>
        <w:pageBreakBefore w:val="0"/>
        <w:widowControl/>
        <w:kinsoku/>
        <w:wordWrap/>
        <w:overflowPunct/>
        <w:topLinePunct w:val="0"/>
        <w:autoSpaceDE/>
        <w:autoSpaceDN/>
        <w:bidi w:val="0"/>
        <w:adjustRightInd/>
        <w:snapToGrid/>
        <w:spacing w:before="240" w:after="240"/>
        <w:ind w:firstLine="540" w:firstLineChars="200"/>
        <w:jc w:val="left"/>
        <w:textAlignment w:val="auto"/>
        <w:rPr>
          <w:rFonts w:hint="eastAsia" w:ascii="仿宋_GB2312" w:hAnsi="仿宋_GB2312" w:eastAsia="仿宋_GB2312" w:cs="仿宋_GB2312"/>
          <w:b w:val="0"/>
          <w:bCs w:val="0"/>
          <w:kern w:val="0"/>
          <w:sz w:val="27"/>
          <w:szCs w:val="27"/>
        </w:rPr>
      </w:pPr>
      <w:r>
        <w:rPr>
          <w:rFonts w:hint="eastAsia" w:ascii="仿宋_GB2312" w:hAnsi="仿宋_GB2312" w:eastAsia="仿宋_GB2312" w:cs="仿宋_GB2312"/>
          <w:b w:val="0"/>
          <w:bCs w:val="0"/>
          <w:kern w:val="0"/>
          <w:sz w:val="27"/>
          <w:szCs w:val="27"/>
        </w:rPr>
        <w:t>（二） 制定并落实本行政区域的经济计划和措施，全面提高人民群众的生活水平和生活质量。</w:t>
      </w:r>
    </w:p>
    <w:p>
      <w:pPr>
        <w:keepNext w:val="0"/>
        <w:keepLines w:val="0"/>
        <w:pageBreakBefore w:val="0"/>
        <w:widowControl/>
        <w:kinsoku/>
        <w:wordWrap/>
        <w:overflowPunct/>
        <w:topLinePunct w:val="0"/>
        <w:autoSpaceDE/>
        <w:autoSpaceDN/>
        <w:bidi w:val="0"/>
        <w:adjustRightInd/>
        <w:snapToGrid/>
        <w:spacing w:before="240" w:after="240"/>
        <w:ind w:firstLine="540" w:firstLineChars="200"/>
        <w:jc w:val="left"/>
        <w:textAlignment w:val="auto"/>
        <w:rPr>
          <w:rFonts w:hint="eastAsia" w:ascii="仿宋_GB2312" w:hAnsi="仿宋_GB2312" w:eastAsia="仿宋_GB2312" w:cs="仿宋_GB2312"/>
          <w:b w:val="0"/>
          <w:bCs w:val="0"/>
          <w:kern w:val="0"/>
          <w:sz w:val="27"/>
          <w:szCs w:val="27"/>
        </w:rPr>
      </w:pPr>
      <w:r>
        <w:rPr>
          <w:rFonts w:hint="eastAsia" w:ascii="仿宋_GB2312" w:hAnsi="仿宋_GB2312" w:eastAsia="仿宋_GB2312" w:cs="仿宋_GB2312"/>
          <w:b w:val="0"/>
          <w:bCs w:val="0"/>
          <w:kern w:val="0"/>
          <w:sz w:val="27"/>
          <w:szCs w:val="27"/>
        </w:rPr>
        <w:t>（三） 承担国有资产、集体资产管理、监督及增值保值责任。</w:t>
      </w:r>
    </w:p>
    <w:p>
      <w:pPr>
        <w:keepNext w:val="0"/>
        <w:keepLines w:val="0"/>
        <w:pageBreakBefore w:val="0"/>
        <w:widowControl/>
        <w:kinsoku/>
        <w:wordWrap/>
        <w:overflowPunct/>
        <w:topLinePunct w:val="0"/>
        <w:autoSpaceDE/>
        <w:autoSpaceDN/>
        <w:bidi w:val="0"/>
        <w:adjustRightInd/>
        <w:snapToGrid/>
        <w:spacing w:before="240" w:after="240"/>
        <w:ind w:firstLine="540" w:firstLineChars="200"/>
        <w:jc w:val="left"/>
        <w:textAlignment w:val="auto"/>
        <w:rPr>
          <w:rFonts w:hint="eastAsia" w:ascii="仿宋_GB2312" w:hAnsi="仿宋_GB2312" w:eastAsia="仿宋_GB2312" w:cs="仿宋_GB2312"/>
          <w:b w:val="0"/>
          <w:bCs w:val="0"/>
          <w:kern w:val="0"/>
          <w:sz w:val="27"/>
          <w:szCs w:val="27"/>
        </w:rPr>
      </w:pPr>
      <w:r>
        <w:rPr>
          <w:rFonts w:hint="eastAsia" w:ascii="仿宋_GB2312" w:hAnsi="仿宋_GB2312" w:eastAsia="仿宋_GB2312" w:cs="仿宋_GB2312"/>
          <w:b w:val="0"/>
          <w:bCs w:val="0"/>
          <w:kern w:val="0"/>
          <w:sz w:val="27"/>
          <w:szCs w:val="27"/>
        </w:rPr>
        <w:t>（四）开展社会主义民主和法制的宣传教育，保障公民的权利，打击违法犯罪，维护社会稳定。</w:t>
      </w:r>
    </w:p>
    <w:p>
      <w:pPr>
        <w:keepNext w:val="0"/>
        <w:keepLines w:val="0"/>
        <w:pageBreakBefore w:val="0"/>
        <w:widowControl/>
        <w:kinsoku/>
        <w:wordWrap/>
        <w:overflowPunct/>
        <w:topLinePunct w:val="0"/>
        <w:autoSpaceDE/>
        <w:autoSpaceDN/>
        <w:bidi w:val="0"/>
        <w:adjustRightInd/>
        <w:snapToGrid/>
        <w:spacing w:before="240" w:after="240"/>
        <w:ind w:firstLine="540" w:firstLineChars="200"/>
        <w:jc w:val="left"/>
        <w:textAlignment w:val="auto"/>
        <w:rPr>
          <w:rFonts w:hint="eastAsia" w:ascii="仿宋_GB2312" w:hAnsi="仿宋_GB2312" w:eastAsia="仿宋_GB2312" w:cs="仿宋_GB2312"/>
          <w:b w:val="0"/>
          <w:bCs w:val="0"/>
          <w:kern w:val="0"/>
          <w:sz w:val="27"/>
          <w:szCs w:val="27"/>
        </w:rPr>
      </w:pPr>
      <w:r>
        <w:rPr>
          <w:rFonts w:hint="eastAsia" w:ascii="仿宋_GB2312" w:hAnsi="仿宋_GB2312" w:eastAsia="仿宋_GB2312" w:cs="仿宋_GB2312"/>
          <w:b w:val="0"/>
          <w:bCs w:val="0"/>
          <w:kern w:val="0"/>
          <w:sz w:val="27"/>
          <w:szCs w:val="27"/>
        </w:rPr>
        <w:t>（五）制定社会各项事业发展计划，发展教育、卫生、科技、民政、广播电视、文化、体育事业；加强计划生育工作；推进社会保障、社会福利事业和养老保险等工作。</w:t>
      </w:r>
    </w:p>
    <w:p>
      <w:pPr>
        <w:keepNext w:val="0"/>
        <w:keepLines w:val="0"/>
        <w:pageBreakBefore w:val="0"/>
        <w:widowControl/>
        <w:kinsoku/>
        <w:wordWrap/>
        <w:overflowPunct/>
        <w:topLinePunct w:val="0"/>
        <w:autoSpaceDE/>
        <w:autoSpaceDN/>
        <w:bidi w:val="0"/>
        <w:adjustRightInd/>
        <w:snapToGrid/>
        <w:spacing w:before="240" w:after="240"/>
        <w:ind w:firstLine="540" w:firstLineChars="200"/>
        <w:jc w:val="left"/>
        <w:textAlignment w:val="auto"/>
        <w:rPr>
          <w:rFonts w:hint="eastAsia" w:ascii="仿宋_GB2312" w:hAnsi="仿宋_GB2312" w:eastAsia="仿宋_GB2312" w:cs="仿宋_GB2312"/>
          <w:b w:val="0"/>
          <w:bCs w:val="0"/>
          <w:kern w:val="0"/>
          <w:sz w:val="27"/>
          <w:szCs w:val="27"/>
        </w:rPr>
      </w:pPr>
      <w:r>
        <w:rPr>
          <w:rFonts w:hint="eastAsia" w:ascii="仿宋_GB2312" w:hAnsi="仿宋_GB2312" w:eastAsia="仿宋_GB2312" w:cs="仿宋_GB2312"/>
          <w:b w:val="0"/>
          <w:bCs w:val="0"/>
          <w:kern w:val="0"/>
          <w:sz w:val="27"/>
          <w:szCs w:val="27"/>
        </w:rPr>
        <w:t>（六） 加强镇级财政的监督和管理。</w:t>
      </w:r>
    </w:p>
    <w:p>
      <w:pPr>
        <w:keepNext w:val="0"/>
        <w:keepLines w:val="0"/>
        <w:pageBreakBefore w:val="0"/>
        <w:widowControl/>
        <w:kinsoku/>
        <w:wordWrap/>
        <w:overflowPunct/>
        <w:topLinePunct w:val="0"/>
        <w:autoSpaceDE/>
        <w:autoSpaceDN/>
        <w:bidi w:val="0"/>
        <w:adjustRightInd/>
        <w:snapToGrid/>
        <w:spacing w:before="240" w:after="240"/>
        <w:ind w:firstLine="540" w:firstLineChars="200"/>
        <w:jc w:val="left"/>
        <w:textAlignment w:val="auto"/>
        <w:rPr>
          <w:rFonts w:hint="eastAsia" w:ascii="仿宋_GB2312" w:hAnsi="仿宋_GB2312" w:eastAsia="仿宋_GB2312" w:cs="仿宋_GB2312"/>
          <w:b w:val="0"/>
          <w:bCs w:val="0"/>
          <w:kern w:val="0"/>
          <w:sz w:val="27"/>
          <w:szCs w:val="27"/>
        </w:rPr>
      </w:pPr>
      <w:r>
        <w:rPr>
          <w:rFonts w:hint="eastAsia" w:ascii="仿宋_GB2312" w:hAnsi="仿宋_GB2312" w:eastAsia="仿宋_GB2312" w:cs="仿宋_GB2312"/>
          <w:b w:val="0"/>
          <w:bCs w:val="0"/>
          <w:kern w:val="0"/>
          <w:sz w:val="27"/>
          <w:szCs w:val="27"/>
        </w:rPr>
        <w:t>（七） 指导村（居）民委员会的组织制度建设和业务建设，促进村（居）民委员会民主自治。</w:t>
      </w:r>
    </w:p>
    <w:p>
      <w:pPr>
        <w:keepNext w:val="0"/>
        <w:keepLines w:val="0"/>
        <w:pageBreakBefore w:val="0"/>
        <w:widowControl/>
        <w:kinsoku/>
        <w:wordWrap/>
        <w:overflowPunct/>
        <w:topLinePunct w:val="0"/>
        <w:autoSpaceDE/>
        <w:autoSpaceDN/>
        <w:bidi w:val="0"/>
        <w:adjustRightInd/>
        <w:snapToGrid/>
        <w:spacing w:before="240" w:after="240"/>
        <w:ind w:firstLine="540" w:firstLineChars="200"/>
        <w:jc w:val="left"/>
        <w:textAlignment w:val="auto"/>
        <w:rPr>
          <w:rFonts w:hint="eastAsia" w:ascii="仿宋_GB2312" w:hAnsi="仿宋_GB2312" w:eastAsia="仿宋_GB2312" w:cs="仿宋_GB2312"/>
          <w:b w:val="0"/>
          <w:bCs w:val="0"/>
          <w:kern w:val="0"/>
          <w:sz w:val="27"/>
          <w:szCs w:val="27"/>
        </w:rPr>
      </w:pPr>
      <w:r>
        <w:rPr>
          <w:rFonts w:hint="eastAsia" w:ascii="仿宋_GB2312" w:hAnsi="仿宋_GB2312" w:eastAsia="仿宋_GB2312" w:cs="仿宋_GB2312"/>
          <w:b w:val="0"/>
          <w:bCs w:val="0"/>
          <w:kern w:val="0"/>
          <w:sz w:val="27"/>
          <w:szCs w:val="27"/>
        </w:rPr>
        <w:t>（八） 制定和组织实施乡村建设规划，保护和改善生活环境和生态环境。</w:t>
      </w:r>
    </w:p>
    <w:p>
      <w:pPr>
        <w:keepNext w:val="0"/>
        <w:keepLines w:val="0"/>
        <w:pageBreakBefore w:val="0"/>
        <w:widowControl/>
        <w:kinsoku/>
        <w:wordWrap/>
        <w:overflowPunct/>
        <w:topLinePunct w:val="0"/>
        <w:autoSpaceDE/>
        <w:autoSpaceDN/>
        <w:bidi w:val="0"/>
        <w:adjustRightInd/>
        <w:snapToGrid/>
        <w:spacing w:before="240" w:after="240"/>
        <w:ind w:firstLine="540" w:firstLineChars="200"/>
        <w:jc w:val="left"/>
        <w:textAlignment w:val="auto"/>
        <w:rPr>
          <w:rFonts w:hint="eastAsia" w:ascii="仿宋_GB2312" w:hAnsi="仿宋_GB2312" w:eastAsia="仿宋_GB2312" w:cs="仿宋_GB2312"/>
          <w:b w:val="0"/>
          <w:bCs w:val="0"/>
          <w:kern w:val="0"/>
          <w:sz w:val="27"/>
          <w:szCs w:val="27"/>
        </w:rPr>
      </w:pPr>
      <w:r>
        <w:rPr>
          <w:rFonts w:hint="eastAsia" w:ascii="仿宋_GB2312" w:hAnsi="仿宋_GB2312" w:eastAsia="仿宋_GB2312" w:cs="仿宋_GB2312"/>
          <w:b w:val="0"/>
          <w:bCs w:val="0"/>
          <w:kern w:val="0"/>
          <w:sz w:val="27"/>
          <w:szCs w:val="27"/>
        </w:rPr>
        <w:t>（九） 协助和支持设置在本行政区域内不隶属于乡级的国家机关和企事业单位工作，监督其遵守和执行国家的法律、法规和政策。</w:t>
      </w:r>
    </w:p>
    <w:p>
      <w:pPr>
        <w:keepNext w:val="0"/>
        <w:keepLines w:val="0"/>
        <w:pageBreakBefore w:val="0"/>
        <w:widowControl/>
        <w:kinsoku/>
        <w:wordWrap/>
        <w:overflowPunct/>
        <w:topLinePunct w:val="0"/>
        <w:autoSpaceDE/>
        <w:autoSpaceDN/>
        <w:bidi w:val="0"/>
        <w:adjustRightInd/>
        <w:snapToGrid/>
        <w:spacing w:before="240" w:after="240"/>
        <w:ind w:firstLine="540" w:firstLineChars="200"/>
        <w:jc w:val="left"/>
        <w:textAlignment w:val="auto"/>
        <w:rPr>
          <w:rFonts w:ascii="仿宋_GB2312" w:hAnsi="仿宋_GB2312" w:eastAsia="仿宋_GB2312" w:cs="仿宋_GB2312"/>
          <w:b w:val="0"/>
          <w:bCs w:val="0"/>
          <w:kern w:val="0"/>
          <w:sz w:val="27"/>
          <w:szCs w:val="27"/>
        </w:rPr>
      </w:pPr>
      <w:r>
        <w:rPr>
          <w:rFonts w:hint="eastAsia" w:ascii="仿宋_GB2312" w:hAnsi="仿宋_GB2312" w:eastAsia="仿宋_GB2312" w:cs="仿宋_GB2312"/>
          <w:b w:val="0"/>
          <w:bCs w:val="0"/>
          <w:kern w:val="0"/>
          <w:sz w:val="27"/>
          <w:szCs w:val="27"/>
        </w:rPr>
        <w:t>（十）承办本级党委、人大和上级交办的其它事项。</w:t>
      </w:r>
    </w:p>
    <w:p>
      <w:pPr>
        <w:widowControl/>
        <w:spacing w:before="240" w:after="240"/>
        <w:jc w:val="left"/>
        <w:rPr>
          <w:rFonts w:ascii="Times New Roman" w:hAnsi="Times New Roman" w:eastAsia="Times New Roman" w:cs="Times New Roman"/>
          <w:b w:val="0"/>
          <w:bCs w:val="0"/>
          <w:kern w:val="0"/>
          <w:sz w:val="24"/>
        </w:rPr>
      </w:pPr>
      <w:r>
        <w:rPr>
          <w:rFonts w:ascii="仿宋_GB2312" w:hAnsi="仿宋_GB2312" w:eastAsia="仿宋_GB2312" w:cs="仿宋_GB2312"/>
          <w:b w:val="0"/>
          <w:bCs w:val="0"/>
          <w:kern w:val="0"/>
          <w:sz w:val="27"/>
          <w:szCs w:val="27"/>
        </w:rPr>
        <w:t>      2．机构情况</w:t>
      </w:r>
      <w:r>
        <w:rPr>
          <w:rFonts w:ascii="仿宋_GB2312" w:hAnsi="仿宋_GB2312" w:eastAsia="仿宋_GB2312" w:cs="仿宋_GB2312"/>
          <w:b w:val="0"/>
          <w:bCs w:val="0"/>
          <w:spacing w:val="0"/>
          <w:kern w:val="0"/>
          <w:sz w:val="27"/>
          <w:szCs w:val="27"/>
        </w:rPr>
        <w:t>。</w:t>
      </w:r>
      <w:r>
        <w:rPr>
          <w:rFonts w:ascii="仿宋_GB2312" w:hAnsi="仿宋_GB2312" w:eastAsia="仿宋_GB2312" w:cs="仿宋_GB2312"/>
          <w:b w:val="0"/>
          <w:bCs w:val="0"/>
          <w:kern w:val="0"/>
          <w:sz w:val="27"/>
          <w:szCs w:val="27"/>
        </w:rPr>
        <w:t>本单位奈曼旗东明镇人民政府，一级预算单位，报表类型为：单户表</w:t>
      </w:r>
      <w:r>
        <w:rPr>
          <w:rFonts w:hint="eastAsia" w:ascii="仿宋_GB2312" w:hAnsi="仿宋_GB2312" w:eastAsia="仿宋_GB2312" w:cs="仿宋_GB2312"/>
          <w:b w:val="0"/>
          <w:bCs w:val="0"/>
          <w:kern w:val="0"/>
          <w:sz w:val="27"/>
          <w:szCs w:val="27"/>
          <w:lang w:eastAsia="zh-CN"/>
        </w:rPr>
        <w:t>。</w:t>
      </w:r>
    </w:p>
    <w:p>
      <w:pPr>
        <w:widowControl/>
        <w:spacing w:before="240" w:after="240"/>
        <w:jc w:val="left"/>
        <w:rPr>
          <w:rFonts w:hint="eastAsia" w:ascii="仿宋_GB2312" w:hAnsi="仿宋_GB2312" w:eastAsia="仿宋_GB2312" w:cs="仿宋_GB2312"/>
          <w:b w:val="0"/>
          <w:bCs w:val="0"/>
          <w:spacing w:val="0"/>
          <w:kern w:val="0"/>
          <w:sz w:val="27"/>
          <w:szCs w:val="27"/>
          <w:lang w:eastAsia="zh-CN"/>
        </w:rPr>
      </w:pPr>
      <w:r>
        <w:rPr>
          <w:rFonts w:ascii="仿宋_GB2312" w:hAnsi="仿宋_GB2312" w:eastAsia="仿宋_GB2312" w:cs="仿宋_GB2312"/>
          <w:b w:val="0"/>
          <w:bCs w:val="0"/>
          <w:kern w:val="0"/>
          <w:sz w:val="27"/>
          <w:szCs w:val="27"/>
        </w:rPr>
        <w:t>      3．人员情况</w:t>
      </w:r>
      <w:r>
        <w:rPr>
          <w:rFonts w:ascii="仿宋_GB2312" w:hAnsi="仿宋_GB2312" w:eastAsia="仿宋_GB2312" w:cs="仿宋_GB2312"/>
          <w:b w:val="0"/>
          <w:bCs w:val="0"/>
          <w:spacing w:val="0"/>
          <w:kern w:val="0"/>
          <w:sz w:val="27"/>
          <w:szCs w:val="27"/>
        </w:rPr>
        <w:t>。</w:t>
      </w:r>
      <w:r>
        <w:rPr>
          <w:rFonts w:hint="eastAsia" w:ascii="仿宋_GB2312" w:hAnsi="仿宋_GB2312" w:eastAsia="仿宋_GB2312" w:cs="仿宋_GB2312"/>
          <w:b w:val="0"/>
          <w:bCs w:val="0"/>
          <w:spacing w:val="0"/>
          <w:kern w:val="0"/>
          <w:sz w:val="27"/>
          <w:szCs w:val="27"/>
        </w:rPr>
        <w:t>在职人员：</w:t>
      </w:r>
      <w:r>
        <w:rPr>
          <w:rFonts w:hint="eastAsia" w:ascii="仿宋_GB2312" w:hAnsi="仿宋_GB2312" w:eastAsia="仿宋_GB2312" w:cs="仿宋_GB2312"/>
          <w:b w:val="0"/>
          <w:bCs w:val="0"/>
          <w:spacing w:val="0"/>
          <w:kern w:val="0"/>
          <w:sz w:val="27"/>
          <w:szCs w:val="27"/>
          <w:lang w:val="en-US" w:eastAsia="zh-CN"/>
        </w:rPr>
        <w:t>88</w:t>
      </w:r>
      <w:r>
        <w:rPr>
          <w:rFonts w:hint="eastAsia" w:ascii="仿宋_GB2312" w:hAnsi="仿宋_GB2312" w:eastAsia="仿宋_GB2312" w:cs="仿宋_GB2312"/>
          <w:b w:val="0"/>
          <w:bCs w:val="0"/>
          <w:spacing w:val="0"/>
          <w:kern w:val="0"/>
          <w:sz w:val="27"/>
          <w:szCs w:val="27"/>
        </w:rPr>
        <w:t>人，离休人员：0人，退休人员：</w:t>
      </w:r>
      <w:r>
        <w:rPr>
          <w:rFonts w:hint="eastAsia" w:ascii="仿宋_GB2312" w:hAnsi="仿宋_GB2312" w:eastAsia="仿宋_GB2312" w:cs="仿宋_GB2312"/>
          <w:b w:val="0"/>
          <w:bCs w:val="0"/>
          <w:spacing w:val="0"/>
          <w:kern w:val="0"/>
          <w:sz w:val="27"/>
          <w:szCs w:val="27"/>
          <w:lang w:val="en-US" w:eastAsia="zh-CN"/>
        </w:rPr>
        <w:t>83</w:t>
      </w:r>
      <w:r>
        <w:rPr>
          <w:rFonts w:hint="eastAsia" w:ascii="仿宋_GB2312" w:hAnsi="仿宋_GB2312" w:eastAsia="仿宋_GB2312" w:cs="仿宋_GB2312"/>
          <w:b w:val="0"/>
          <w:bCs w:val="0"/>
          <w:spacing w:val="0"/>
          <w:kern w:val="0"/>
          <w:sz w:val="27"/>
          <w:szCs w:val="27"/>
        </w:rPr>
        <w:t>人，实有人数_一般公共预算财政拨款开支人员：</w:t>
      </w:r>
      <w:r>
        <w:rPr>
          <w:rFonts w:hint="eastAsia" w:ascii="仿宋_GB2312" w:hAnsi="仿宋_GB2312" w:eastAsia="仿宋_GB2312" w:cs="仿宋_GB2312"/>
          <w:b w:val="0"/>
          <w:bCs w:val="0"/>
          <w:spacing w:val="0"/>
          <w:kern w:val="0"/>
          <w:sz w:val="27"/>
          <w:szCs w:val="27"/>
          <w:lang w:val="en-US" w:eastAsia="zh-CN"/>
        </w:rPr>
        <w:t>88</w:t>
      </w:r>
      <w:r>
        <w:rPr>
          <w:rFonts w:hint="eastAsia" w:ascii="仿宋_GB2312" w:hAnsi="仿宋_GB2312" w:eastAsia="仿宋_GB2312" w:cs="仿宋_GB2312"/>
          <w:b w:val="0"/>
          <w:bCs w:val="0"/>
          <w:spacing w:val="0"/>
          <w:kern w:val="0"/>
          <w:sz w:val="27"/>
          <w:szCs w:val="27"/>
        </w:rPr>
        <w:t>人，年末遗属人员：0人</w:t>
      </w:r>
      <w:r>
        <w:rPr>
          <w:rFonts w:hint="eastAsia" w:ascii="仿宋_GB2312" w:hAnsi="仿宋_GB2312" w:eastAsia="仿宋_GB2312" w:cs="仿宋_GB2312"/>
          <w:b w:val="0"/>
          <w:bCs w:val="0"/>
          <w:spacing w:val="0"/>
          <w:kern w:val="0"/>
          <w:sz w:val="27"/>
          <w:szCs w:val="27"/>
          <w:lang w:eastAsia="zh-CN"/>
        </w:rPr>
        <w:t>。</w:t>
      </w:r>
    </w:p>
    <w:p>
      <w:pPr>
        <w:pStyle w:val="4"/>
        <w:keepNext w:val="0"/>
        <w:keepLines w:val="0"/>
        <w:widowControl/>
        <w:spacing w:before="281" w:after="281" w:line="240" w:lineRule="auto"/>
        <w:jc w:val="left"/>
        <w:rPr>
          <w:rFonts w:ascii="Times New Roman" w:hAnsi="Times New Roman" w:eastAsia="Times New Roman" w:cs="Times New Roman"/>
          <w:b/>
          <w:bCs/>
          <w:kern w:val="0"/>
          <w:sz w:val="28"/>
          <w:szCs w:val="28"/>
        </w:rPr>
      </w:pPr>
      <w:r>
        <w:rPr>
          <w:rFonts w:ascii="Times New Roman" w:hAnsi="Times New Roman" w:eastAsia="Times New Roman" w:cs="Times New Roman"/>
          <w:kern w:val="0"/>
          <w:sz w:val="28"/>
          <w:szCs w:val="28"/>
        </w:rPr>
        <w:t>      </w:t>
      </w:r>
      <w:r>
        <w:rPr>
          <w:rFonts w:ascii="黑体" w:hAnsi="黑体" w:eastAsia="黑体" w:cs="黑体"/>
          <w:kern w:val="0"/>
          <w:sz w:val="27"/>
          <w:szCs w:val="27"/>
        </w:rPr>
        <w:t>（二）当年取得的主要事业成效。</w:t>
      </w:r>
    </w:p>
    <w:p>
      <w:pPr>
        <w:widowControl/>
        <w:spacing w:before="240" w:after="240"/>
        <w:jc w:val="left"/>
        <w:rPr>
          <w:rFonts w:ascii="仿宋_GB2312" w:hAnsi="仿宋_GB2312" w:eastAsia="仿宋_GB2312" w:cs="仿宋_GB2312"/>
          <w:b w:val="0"/>
          <w:bCs w:val="0"/>
          <w:kern w:val="0"/>
          <w:sz w:val="27"/>
          <w:szCs w:val="27"/>
        </w:rPr>
      </w:pPr>
      <w:r>
        <w:rPr>
          <w:rFonts w:ascii="Times New Roman" w:hAnsi="Times New Roman" w:eastAsia="Times New Roman" w:cs="Times New Roman"/>
          <w:b w:val="0"/>
          <w:bCs w:val="0"/>
          <w:kern w:val="0"/>
          <w:sz w:val="24"/>
        </w:rPr>
        <w:t>         </w:t>
      </w:r>
      <w:r>
        <w:rPr>
          <w:rFonts w:hint="eastAsia" w:ascii="Times New Roman" w:hAnsi="Times New Roman" w:eastAsia="Times New Roman" w:cs="Times New Roman"/>
          <w:b w:val="0"/>
          <w:bCs w:val="0"/>
          <w:kern w:val="0"/>
          <w:sz w:val="24"/>
        </w:rPr>
        <w:t xml:space="preserve"> </w:t>
      </w:r>
      <w:r>
        <w:rPr>
          <w:rFonts w:hint="eastAsia" w:ascii="仿宋_GB2312" w:hAnsi="仿宋_GB2312" w:eastAsia="仿宋_GB2312" w:cs="仿宋_GB2312"/>
          <w:b w:val="0"/>
          <w:bCs w:val="0"/>
          <w:kern w:val="0"/>
          <w:sz w:val="27"/>
          <w:szCs w:val="27"/>
        </w:rPr>
        <w:t xml:space="preserve"> 202</w:t>
      </w:r>
      <w:r>
        <w:rPr>
          <w:rFonts w:hint="eastAsia" w:ascii="仿宋_GB2312" w:hAnsi="仿宋_GB2312" w:eastAsia="仿宋_GB2312" w:cs="仿宋_GB2312"/>
          <w:b w:val="0"/>
          <w:bCs w:val="0"/>
          <w:kern w:val="0"/>
          <w:sz w:val="27"/>
          <w:szCs w:val="27"/>
          <w:lang w:val="en-US" w:eastAsia="zh-CN"/>
        </w:rPr>
        <w:t>4</w:t>
      </w:r>
      <w:r>
        <w:rPr>
          <w:rFonts w:hint="eastAsia" w:ascii="仿宋_GB2312" w:hAnsi="仿宋_GB2312" w:eastAsia="仿宋_GB2312" w:cs="仿宋_GB2312"/>
          <w:b w:val="0"/>
          <w:bCs w:val="0"/>
          <w:kern w:val="0"/>
          <w:sz w:val="27"/>
          <w:szCs w:val="27"/>
        </w:rPr>
        <w:t>年工作开展顺利，发挥好一级政府的主要职能。一方面履职能力有效提升。东明镇财政所在旗财政局的指导下，通过财政技能学习培训、建立健全内控管理、强化检查监督等措施，进一步完善了财政信息公开、债权债务管理、村级财务公开、安全保密等制度。另一方面服务水平有效提升。财政所作为基层服务窗口，全面实现“一站式服务”，指导督促各村严格执行财务制度，做好财务公开，落实惠民政策，强化业务办理。</w:t>
      </w:r>
    </w:p>
    <w:p>
      <w:pPr>
        <w:pStyle w:val="3"/>
        <w:keepNext w:val="0"/>
        <w:keepLines w:val="0"/>
        <w:widowControl/>
        <w:spacing w:before="299" w:after="299" w:line="240" w:lineRule="auto"/>
        <w:jc w:val="left"/>
        <w:rPr>
          <w:rFonts w:ascii="Times New Roman" w:hAnsi="Times New Roman" w:eastAsia="Times New Roman" w:cs="Times New Roman"/>
          <w:b/>
          <w:bCs/>
          <w:kern w:val="0"/>
          <w:sz w:val="36"/>
          <w:szCs w:val="36"/>
        </w:rPr>
      </w:pPr>
      <w:r>
        <w:rPr>
          <w:rFonts w:ascii="宋体" w:hAnsi="宋体" w:eastAsia="宋体" w:cs="宋体"/>
          <w:kern w:val="0"/>
          <w:sz w:val="36"/>
          <w:szCs w:val="36"/>
        </w:rPr>
        <w:t>二、收入支出预算执行情况分析</w:t>
      </w:r>
    </w:p>
    <w:p>
      <w:pPr>
        <w:pStyle w:val="4"/>
        <w:keepNext w:val="0"/>
        <w:keepLines w:val="0"/>
        <w:widowControl/>
        <w:spacing w:before="281" w:after="281" w:line="240" w:lineRule="auto"/>
        <w:jc w:val="left"/>
        <w:rPr>
          <w:rFonts w:ascii="Times New Roman" w:hAnsi="Times New Roman" w:eastAsia="Times New Roman" w:cs="Times New Roman"/>
          <w:b/>
          <w:bCs/>
          <w:kern w:val="0"/>
          <w:sz w:val="28"/>
          <w:szCs w:val="28"/>
        </w:rPr>
      </w:pPr>
      <w:r>
        <w:rPr>
          <w:rFonts w:ascii="仿宋_GB2312" w:hAnsi="仿宋_GB2312" w:eastAsia="仿宋_GB2312" w:cs="仿宋_GB2312"/>
          <w:kern w:val="0"/>
          <w:sz w:val="27"/>
          <w:szCs w:val="27"/>
        </w:rPr>
        <w:t xml:space="preserve">  </w:t>
      </w:r>
      <w:r>
        <w:rPr>
          <w:rFonts w:ascii="Calibri" w:hAnsi="Calibri" w:eastAsia="Calibri" w:cs="Calibri"/>
          <w:kern w:val="0"/>
          <w:sz w:val="27"/>
          <w:szCs w:val="27"/>
        </w:rPr>
        <w:t> </w:t>
      </w:r>
      <w:r>
        <w:rPr>
          <w:rFonts w:ascii="黑体" w:hAnsi="黑体" w:eastAsia="黑体" w:cs="黑体"/>
          <w:kern w:val="0"/>
          <w:sz w:val="27"/>
          <w:szCs w:val="27"/>
        </w:rPr>
        <w:t>（一）收入支出预算安排情况。</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t>             </w:t>
      </w:r>
      <w:r>
        <w:rPr>
          <w:rFonts w:ascii="仿宋_GB2312" w:hAnsi="仿宋_GB2312" w:eastAsia="仿宋_GB2312" w:cs="仿宋_GB2312"/>
          <w:kern w:val="0"/>
          <w:sz w:val="27"/>
          <w:szCs w:val="27"/>
        </w:rPr>
        <w:t>包括部门收入、支出年初预算安排情况，与上年对比情况及增减变动原因(可用柱形图或折线图)</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收入年初预算安排情况：</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一般公共预算财政拨款收入：本年年初预算数：2,690.98万元、上年年初预算数：2,697.34万元 。</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政府性基金预算财政拨款收入：本年年初预算数：0 万元、上年年初预算数：0 万元 。</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国有资本经营预算财政拨款收入：本年年初预算数：0 万元、上年年初预算数：0 万元 。</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上级补助收入：本年年初预算数：0 万元、上年年初预算数：0 万元。 </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事业收入：本年年初预算数：0 万元、上年年初预算数：0 万元。 </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经营收入：本年年初预算数：0 万元、上年年初预算数：0 万元。 </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附属单位上缴收入：本年年初预算数：0 万元、上年年初预算数：0 万元。 </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其他收入：本年年初预算数：0 万元、上年年初预算数：0 万元。</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本年收入合计：年初预算数：2,690.98万元、上年年初预算数：2,697.34万元。 </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支出年初预算安排情况：</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一般公共服务支出年初预算数：1,562.94万元、上年年初预算数1,481.47万元。</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外交支出年初预算数：0 万元、上年年初预算数0 万元。</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国防支出年初预算数：0 万元、上年年初预算数0 万元。</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公共安全支出年初预算数：0 万元、上年年初预算数0 万元。</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教育支出年初预算数：0 万元、上年年初预算数0 万元。</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科学技术支出年初预算数：0 万元、上年年初预算数0 万元。</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文化旅游体育与传媒支出年初预算数：0 万元、上年年初预算数0 万元。</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社会保障和就业支出年初预算数：370.67万元、上年年初预算数312.61万元。</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卫生健康支出年初预算数：56.36万元、上年年初预算数0.95万元。</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节能环保支出年初预算数：0 万元、上年年初预算数0 万元。</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城乡社区支出年初预算数：0 万元、上年年初预算数0 万元。</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农林水支出年初预算数：836.14万元、上年年初预算数861.53万元。</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交通运输支出年初预算数：0 万元、上年年初预算数0 万元。</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资源勘探工业信息等支出年初预算数：0 万元、上年年初预算数0 万元。</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商业服务业等支出年初预算数：0 万元、上年年初预算数0 万元。</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金融支出年初预算数：0 万元、上年年初预算数0 万元。</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援助其他地区支出年初预算数：0 万元、上年年初预算数0 万元。</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自然资源海洋气象等支出年初预算数：0 万元、上年年初预算数0 万元。</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住房保障支出年初预算数：85.24万元、上年年初预算数77.06万元。</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粮油物资储备支出年初预算数：0 万元、上年年初预算数0 万元。</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国有资本经营预算支出年初预算数：0 万元、上年年初预算数0 万元。</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灾害防治及应急管理支出年初预算数：0 万元、上年年初预算数0 万元。</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其他支出年初预算数：35.31万元、上年年初预算数0 万元。</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债务还本支出年初预算数：0 万元、上年年初预算数0 万元。</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债务付息支出年初预算数：0 万元、上年年初预算数0 万元。</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抗疫特别国债安排的支出年初预算数：0 万元、上年年初预算数0 万元。 </w:t>
      </w:r>
    </w:p>
    <w:p>
      <w:pPr>
        <w:pStyle w:val="4"/>
        <w:keepNext w:val="0"/>
        <w:keepLines w:val="0"/>
        <w:widowControl/>
        <w:spacing w:before="281" w:after="281" w:line="240" w:lineRule="auto"/>
        <w:jc w:val="left"/>
        <w:rPr>
          <w:rFonts w:ascii="Times New Roman" w:hAnsi="Times New Roman" w:eastAsia="Times New Roman" w:cs="Times New Roman"/>
          <w:b/>
          <w:bCs/>
          <w:kern w:val="0"/>
          <w:sz w:val="28"/>
          <w:szCs w:val="28"/>
        </w:rPr>
      </w:pPr>
      <w:r>
        <w:rPr>
          <w:rFonts w:ascii="Times New Roman" w:hAnsi="Times New Roman" w:eastAsia="Times New Roman" w:cs="Times New Roman"/>
          <w:kern w:val="0"/>
          <w:sz w:val="28"/>
          <w:szCs w:val="28"/>
        </w:rPr>
        <w:t>     </w:t>
      </w:r>
      <w:r>
        <w:rPr>
          <w:rFonts w:ascii="黑体" w:hAnsi="黑体" w:eastAsia="黑体" w:cs="黑体"/>
          <w:kern w:val="0"/>
          <w:sz w:val="27"/>
          <w:szCs w:val="27"/>
        </w:rPr>
        <w:t>（二）收入支出预算执行情况。</w:t>
      </w:r>
    </w:p>
    <w:p>
      <w:pPr>
        <w:widowControl/>
        <w:spacing w:before="240" w:after="240"/>
        <w:jc w:val="left"/>
        <w:rPr>
          <w:rFonts w:ascii="Times New Roman" w:hAnsi="Times New Roman" w:eastAsia="Times New Roman" w:cs="Times New Roman"/>
          <w:b w:val="0"/>
          <w:bCs w:val="0"/>
          <w:kern w:val="0"/>
          <w:sz w:val="24"/>
        </w:rPr>
      </w:pPr>
      <w:r>
        <w:rPr>
          <w:rFonts w:ascii="Times New Roman" w:hAnsi="Times New Roman" w:eastAsia="Times New Roman" w:cs="Times New Roman"/>
          <w:b w:val="0"/>
          <w:bCs w:val="0"/>
          <w:kern w:val="0"/>
          <w:sz w:val="24"/>
        </w:rPr>
        <w:t>            </w:t>
      </w:r>
      <w:r>
        <w:rPr>
          <w:rFonts w:ascii="仿宋_GB2312" w:hAnsi="仿宋_GB2312" w:eastAsia="仿宋_GB2312" w:cs="仿宋_GB2312"/>
          <w:b w:val="0"/>
          <w:bCs w:val="0"/>
          <w:kern w:val="0"/>
          <w:sz w:val="27"/>
          <w:szCs w:val="27"/>
        </w:rPr>
        <w:t>当年收入支出预算执行基本情况，与上年度对比情况，包括增减绝对值与幅度，增减变动主要原因(可用柱形图或折线图)。</w:t>
      </w:r>
    </w:p>
    <w:p>
      <w:pPr>
        <w:widowControl/>
        <w:spacing w:before="240" w:after="240"/>
        <w:jc w:val="left"/>
        <w:rPr>
          <w:rFonts w:ascii="Times New Roman" w:hAnsi="Times New Roman" w:eastAsia="Times New Roman" w:cs="Times New Roman"/>
          <w:b w:val="0"/>
          <w:bCs w:val="0"/>
          <w:kern w:val="0"/>
          <w:sz w:val="24"/>
        </w:rPr>
      </w:pPr>
      <w:r>
        <w:rPr>
          <w:rFonts w:ascii="仿宋_GB2312" w:hAnsi="仿宋_GB2312" w:eastAsia="仿宋_GB2312" w:cs="仿宋_GB2312"/>
          <w:b w:val="0"/>
          <w:bCs w:val="0"/>
          <w:kern w:val="0"/>
          <w:sz w:val="27"/>
          <w:szCs w:val="27"/>
        </w:rPr>
        <w:t>收入情况：</w:t>
      </w:r>
    </w:p>
    <w:p>
      <w:pPr>
        <w:widowControl/>
        <w:spacing w:before="240" w:after="240"/>
        <w:jc w:val="left"/>
        <w:rPr>
          <w:rFonts w:ascii="Times New Roman" w:hAnsi="Times New Roman" w:eastAsia="Times New Roman" w:cs="Times New Roman"/>
          <w:b w:val="0"/>
          <w:bCs w:val="0"/>
          <w:kern w:val="0"/>
          <w:sz w:val="24"/>
        </w:rPr>
      </w:pPr>
      <w:r>
        <w:rPr>
          <w:rFonts w:ascii="仿宋_GB2312" w:hAnsi="仿宋_GB2312" w:eastAsia="仿宋_GB2312" w:cs="仿宋_GB2312"/>
          <w:b w:val="0"/>
          <w:bCs w:val="0"/>
          <w:kern w:val="0"/>
          <w:sz w:val="27"/>
          <w:szCs w:val="27"/>
        </w:rPr>
        <w:t>一般公共预算财政拨款收入决算数：3,685.50万元、上年决算数4,033.21万元。</w:t>
      </w:r>
    </w:p>
    <w:p>
      <w:pPr>
        <w:widowControl/>
        <w:spacing w:before="240" w:after="240"/>
        <w:jc w:val="left"/>
        <w:rPr>
          <w:rFonts w:ascii="Times New Roman" w:hAnsi="Times New Roman" w:eastAsia="Times New Roman" w:cs="Times New Roman"/>
          <w:b w:val="0"/>
          <w:bCs w:val="0"/>
          <w:kern w:val="0"/>
          <w:sz w:val="24"/>
        </w:rPr>
      </w:pPr>
      <w:r>
        <w:rPr>
          <w:rFonts w:ascii="仿宋_GB2312" w:hAnsi="仿宋_GB2312" w:eastAsia="仿宋_GB2312" w:cs="仿宋_GB2312"/>
          <w:b w:val="0"/>
          <w:bCs w:val="0"/>
          <w:kern w:val="0"/>
          <w:sz w:val="27"/>
          <w:szCs w:val="27"/>
        </w:rPr>
        <w:t>政府性基金预算财政拨款收入决算数：15.00万元、上年决算数3.69万元。</w:t>
      </w:r>
    </w:p>
    <w:p>
      <w:pPr>
        <w:widowControl/>
        <w:spacing w:before="240" w:after="240"/>
        <w:jc w:val="left"/>
        <w:rPr>
          <w:rFonts w:ascii="Times New Roman" w:hAnsi="Times New Roman" w:eastAsia="Times New Roman" w:cs="Times New Roman"/>
          <w:b w:val="0"/>
          <w:bCs w:val="0"/>
          <w:kern w:val="0"/>
          <w:sz w:val="24"/>
        </w:rPr>
      </w:pPr>
      <w:r>
        <w:rPr>
          <w:rFonts w:ascii="仿宋_GB2312" w:hAnsi="仿宋_GB2312" w:eastAsia="仿宋_GB2312" w:cs="仿宋_GB2312"/>
          <w:b w:val="0"/>
          <w:bCs w:val="0"/>
          <w:kern w:val="0"/>
          <w:sz w:val="27"/>
          <w:szCs w:val="27"/>
        </w:rPr>
        <w:t>国有资本经营预算财政拨款收入决算数：0 万元、上年决算数0 万元。</w:t>
      </w:r>
    </w:p>
    <w:p>
      <w:pPr>
        <w:widowControl/>
        <w:spacing w:before="240" w:after="240"/>
        <w:jc w:val="left"/>
        <w:rPr>
          <w:rFonts w:ascii="Times New Roman" w:hAnsi="Times New Roman" w:eastAsia="Times New Roman" w:cs="Times New Roman"/>
          <w:b w:val="0"/>
          <w:bCs w:val="0"/>
          <w:kern w:val="0"/>
          <w:sz w:val="24"/>
        </w:rPr>
      </w:pPr>
      <w:r>
        <w:rPr>
          <w:rFonts w:ascii="仿宋_GB2312" w:hAnsi="仿宋_GB2312" w:eastAsia="仿宋_GB2312" w:cs="仿宋_GB2312"/>
          <w:b w:val="0"/>
          <w:bCs w:val="0"/>
          <w:kern w:val="0"/>
          <w:sz w:val="27"/>
          <w:szCs w:val="27"/>
        </w:rPr>
        <w:t>上级补助收入决算数：0 万元、上年决算数0 万元。</w:t>
      </w:r>
    </w:p>
    <w:p>
      <w:pPr>
        <w:widowControl/>
        <w:spacing w:before="240" w:after="240"/>
        <w:jc w:val="left"/>
        <w:rPr>
          <w:rFonts w:ascii="Times New Roman" w:hAnsi="Times New Roman" w:eastAsia="Times New Roman" w:cs="Times New Roman"/>
          <w:b w:val="0"/>
          <w:bCs w:val="0"/>
          <w:kern w:val="0"/>
          <w:sz w:val="24"/>
        </w:rPr>
      </w:pPr>
      <w:r>
        <w:rPr>
          <w:rFonts w:ascii="仿宋_GB2312" w:hAnsi="仿宋_GB2312" w:eastAsia="仿宋_GB2312" w:cs="仿宋_GB2312"/>
          <w:b w:val="0"/>
          <w:bCs w:val="0"/>
          <w:kern w:val="0"/>
          <w:sz w:val="27"/>
          <w:szCs w:val="27"/>
        </w:rPr>
        <w:t>事业收入决算数：0 万元、上年决算数0 万元。</w:t>
      </w:r>
    </w:p>
    <w:p>
      <w:pPr>
        <w:widowControl/>
        <w:spacing w:before="240" w:after="240"/>
        <w:jc w:val="left"/>
        <w:rPr>
          <w:rFonts w:ascii="Times New Roman" w:hAnsi="Times New Roman" w:eastAsia="Times New Roman" w:cs="Times New Roman"/>
          <w:b w:val="0"/>
          <w:bCs w:val="0"/>
          <w:kern w:val="0"/>
          <w:sz w:val="24"/>
        </w:rPr>
      </w:pPr>
      <w:r>
        <w:rPr>
          <w:rFonts w:ascii="仿宋_GB2312" w:hAnsi="仿宋_GB2312" w:eastAsia="仿宋_GB2312" w:cs="仿宋_GB2312"/>
          <w:b w:val="0"/>
          <w:bCs w:val="0"/>
          <w:kern w:val="0"/>
          <w:sz w:val="27"/>
          <w:szCs w:val="27"/>
        </w:rPr>
        <w:t>经营收入决算数：0 万元、上年决算数0 万元。</w:t>
      </w:r>
    </w:p>
    <w:p>
      <w:pPr>
        <w:widowControl/>
        <w:spacing w:before="240" w:after="240"/>
        <w:jc w:val="left"/>
        <w:rPr>
          <w:rFonts w:ascii="Times New Roman" w:hAnsi="Times New Roman" w:eastAsia="Times New Roman" w:cs="Times New Roman"/>
          <w:b w:val="0"/>
          <w:bCs w:val="0"/>
          <w:kern w:val="0"/>
          <w:sz w:val="24"/>
        </w:rPr>
      </w:pPr>
      <w:r>
        <w:rPr>
          <w:rFonts w:ascii="仿宋_GB2312" w:hAnsi="仿宋_GB2312" w:eastAsia="仿宋_GB2312" w:cs="仿宋_GB2312"/>
          <w:b w:val="0"/>
          <w:bCs w:val="0"/>
          <w:kern w:val="0"/>
          <w:sz w:val="27"/>
          <w:szCs w:val="27"/>
        </w:rPr>
        <w:t>附属单位上缴收入决算数：0 万元、上年决算数0 万元。</w:t>
      </w:r>
    </w:p>
    <w:p>
      <w:pPr>
        <w:widowControl/>
        <w:spacing w:before="240" w:after="240"/>
        <w:jc w:val="left"/>
        <w:rPr>
          <w:rFonts w:ascii="Times New Roman" w:hAnsi="Times New Roman" w:eastAsia="Times New Roman" w:cs="Times New Roman"/>
          <w:b w:val="0"/>
          <w:bCs w:val="0"/>
          <w:kern w:val="0"/>
          <w:sz w:val="24"/>
        </w:rPr>
      </w:pPr>
      <w:r>
        <w:rPr>
          <w:rFonts w:ascii="仿宋_GB2312" w:hAnsi="仿宋_GB2312" w:eastAsia="仿宋_GB2312" w:cs="仿宋_GB2312"/>
          <w:b w:val="0"/>
          <w:bCs w:val="0"/>
          <w:kern w:val="0"/>
          <w:sz w:val="27"/>
          <w:szCs w:val="27"/>
        </w:rPr>
        <w:t>其他收入决算数：0 万元、上年决算数0 万元。</w:t>
      </w:r>
    </w:p>
    <w:p>
      <w:pPr>
        <w:widowControl/>
        <w:spacing w:before="240" w:after="240"/>
        <w:jc w:val="left"/>
        <w:rPr>
          <w:rFonts w:ascii="Times New Roman" w:hAnsi="Times New Roman" w:eastAsia="Times New Roman" w:cs="Times New Roman"/>
          <w:b w:val="0"/>
          <w:bCs w:val="0"/>
          <w:kern w:val="0"/>
          <w:sz w:val="24"/>
        </w:rPr>
      </w:pPr>
      <w:r>
        <w:rPr>
          <w:rFonts w:ascii="仿宋_GB2312" w:hAnsi="仿宋_GB2312" w:eastAsia="仿宋_GB2312" w:cs="仿宋_GB2312"/>
          <w:b w:val="0"/>
          <w:bCs w:val="0"/>
          <w:kern w:val="0"/>
          <w:sz w:val="27"/>
          <w:szCs w:val="27"/>
        </w:rPr>
        <w:t>本年收入合计决算数：3,700.50万元、上年决算数4,036.90万元。    </w:t>
      </w:r>
    </w:p>
    <w:p>
      <w:pPr>
        <w:widowControl/>
        <w:spacing w:before="240" w:after="240"/>
        <w:jc w:val="left"/>
        <w:rPr>
          <w:rFonts w:ascii="Times New Roman" w:hAnsi="Times New Roman" w:eastAsia="Times New Roman" w:cs="Times New Roman"/>
          <w:b w:val="0"/>
          <w:bCs w:val="0"/>
          <w:kern w:val="0"/>
          <w:sz w:val="24"/>
        </w:rPr>
      </w:pPr>
      <w:r>
        <w:rPr>
          <w:rFonts w:ascii="仿宋_GB2312" w:hAnsi="仿宋_GB2312" w:eastAsia="仿宋_GB2312" w:cs="仿宋_GB2312"/>
          <w:b w:val="0"/>
          <w:bCs w:val="0"/>
          <w:kern w:val="0"/>
          <w:sz w:val="27"/>
          <w:szCs w:val="27"/>
        </w:rPr>
        <w:t>支出情况：</w:t>
      </w:r>
    </w:p>
    <w:p>
      <w:pPr>
        <w:widowControl/>
        <w:spacing w:before="240" w:after="240"/>
        <w:jc w:val="left"/>
        <w:rPr>
          <w:rFonts w:ascii="Times New Roman" w:hAnsi="Times New Roman" w:eastAsia="Times New Roman" w:cs="Times New Roman"/>
          <w:b w:val="0"/>
          <w:bCs w:val="0"/>
          <w:kern w:val="0"/>
          <w:sz w:val="24"/>
        </w:rPr>
      </w:pPr>
      <w:r>
        <w:rPr>
          <w:rFonts w:ascii="仿宋_GB2312" w:hAnsi="仿宋_GB2312" w:eastAsia="仿宋_GB2312" w:cs="仿宋_GB2312"/>
          <w:b w:val="0"/>
          <w:bCs w:val="0"/>
          <w:kern w:val="0"/>
          <w:sz w:val="27"/>
          <w:szCs w:val="27"/>
        </w:rPr>
        <w:t>一般公共服务支出决算数：1,534.21万元、上年决算数1,956.97万元。</w:t>
      </w:r>
    </w:p>
    <w:p>
      <w:pPr>
        <w:widowControl/>
        <w:spacing w:before="240" w:after="240"/>
        <w:jc w:val="left"/>
        <w:rPr>
          <w:rFonts w:ascii="Times New Roman" w:hAnsi="Times New Roman" w:eastAsia="Times New Roman" w:cs="Times New Roman"/>
          <w:b w:val="0"/>
          <w:bCs w:val="0"/>
          <w:kern w:val="0"/>
          <w:sz w:val="24"/>
        </w:rPr>
      </w:pPr>
      <w:r>
        <w:rPr>
          <w:rFonts w:ascii="仿宋_GB2312" w:hAnsi="仿宋_GB2312" w:eastAsia="仿宋_GB2312" w:cs="仿宋_GB2312"/>
          <w:b w:val="0"/>
          <w:bCs w:val="0"/>
          <w:kern w:val="0"/>
          <w:sz w:val="27"/>
          <w:szCs w:val="27"/>
        </w:rPr>
        <w:t>外交支出决算数：0 万元、上年决算数0 万元。</w:t>
      </w:r>
    </w:p>
    <w:p>
      <w:pPr>
        <w:widowControl/>
        <w:spacing w:before="240" w:after="240"/>
        <w:jc w:val="left"/>
        <w:rPr>
          <w:rFonts w:ascii="Times New Roman" w:hAnsi="Times New Roman" w:eastAsia="Times New Roman" w:cs="Times New Roman"/>
          <w:b w:val="0"/>
          <w:bCs w:val="0"/>
          <w:kern w:val="0"/>
          <w:sz w:val="24"/>
        </w:rPr>
      </w:pPr>
      <w:r>
        <w:rPr>
          <w:rFonts w:ascii="仿宋_GB2312" w:hAnsi="仿宋_GB2312" w:eastAsia="仿宋_GB2312" w:cs="仿宋_GB2312"/>
          <w:b w:val="0"/>
          <w:bCs w:val="0"/>
          <w:kern w:val="0"/>
          <w:sz w:val="27"/>
          <w:szCs w:val="27"/>
        </w:rPr>
        <w:t>国防支出决算数：0 万元、上年决算数0 万元。</w:t>
      </w:r>
    </w:p>
    <w:p>
      <w:pPr>
        <w:widowControl/>
        <w:spacing w:before="240" w:after="240"/>
        <w:jc w:val="left"/>
        <w:rPr>
          <w:rFonts w:ascii="Times New Roman" w:hAnsi="Times New Roman" w:eastAsia="Times New Roman" w:cs="Times New Roman"/>
          <w:b w:val="0"/>
          <w:bCs w:val="0"/>
          <w:kern w:val="0"/>
          <w:sz w:val="24"/>
        </w:rPr>
      </w:pPr>
      <w:r>
        <w:rPr>
          <w:rFonts w:ascii="仿宋_GB2312" w:hAnsi="仿宋_GB2312" w:eastAsia="仿宋_GB2312" w:cs="仿宋_GB2312"/>
          <w:b w:val="0"/>
          <w:bCs w:val="0"/>
          <w:kern w:val="0"/>
          <w:sz w:val="27"/>
          <w:szCs w:val="27"/>
        </w:rPr>
        <w:t>公共安全支出决算数：0 万元、上年决算数0 万元。</w:t>
      </w:r>
    </w:p>
    <w:p>
      <w:pPr>
        <w:widowControl/>
        <w:spacing w:before="240" w:after="240"/>
        <w:jc w:val="left"/>
        <w:rPr>
          <w:rFonts w:ascii="Times New Roman" w:hAnsi="Times New Roman" w:eastAsia="Times New Roman" w:cs="Times New Roman"/>
          <w:b w:val="0"/>
          <w:bCs w:val="0"/>
          <w:kern w:val="0"/>
          <w:sz w:val="24"/>
        </w:rPr>
      </w:pPr>
      <w:r>
        <w:rPr>
          <w:rFonts w:ascii="仿宋_GB2312" w:hAnsi="仿宋_GB2312" w:eastAsia="仿宋_GB2312" w:cs="仿宋_GB2312"/>
          <w:b w:val="0"/>
          <w:bCs w:val="0"/>
          <w:kern w:val="0"/>
          <w:sz w:val="27"/>
          <w:szCs w:val="27"/>
        </w:rPr>
        <w:t>教育支出决算数：0 万元、上年决算数0 万元。</w:t>
      </w:r>
    </w:p>
    <w:p>
      <w:pPr>
        <w:widowControl/>
        <w:spacing w:before="240" w:after="240"/>
        <w:jc w:val="left"/>
        <w:rPr>
          <w:rFonts w:ascii="Times New Roman" w:hAnsi="Times New Roman" w:eastAsia="Times New Roman" w:cs="Times New Roman"/>
          <w:b w:val="0"/>
          <w:bCs w:val="0"/>
          <w:kern w:val="0"/>
          <w:sz w:val="24"/>
        </w:rPr>
      </w:pPr>
      <w:r>
        <w:rPr>
          <w:rFonts w:ascii="仿宋_GB2312" w:hAnsi="仿宋_GB2312" w:eastAsia="仿宋_GB2312" w:cs="仿宋_GB2312"/>
          <w:b w:val="0"/>
          <w:bCs w:val="0"/>
          <w:kern w:val="0"/>
          <w:sz w:val="27"/>
          <w:szCs w:val="27"/>
        </w:rPr>
        <w:t>科学技术支出决算数：0 万元、上年决算数0 万元。</w:t>
      </w:r>
    </w:p>
    <w:p>
      <w:pPr>
        <w:widowControl/>
        <w:spacing w:before="240" w:after="240"/>
        <w:jc w:val="left"/>
        <w:rPr>
          <w:rFonts w:ascii="Times New Roman" w:hAnsi="Times New Roman" w:eastAsia="Times New Roman" w:cs="Times New Roman"/>
          <w:b w:val="0"/>
          <w:bCs w:val="0"/>
          <w:kern w:val="0"/>
          <w:sz w:val="24"/>
        </w:rPr>
      </w:pPr>
      <w:r>
        <w:rPr>
          <w:rFonts w:ascii="仿宋_GB2312" w:hAnsi="仿宋_GB2312" w:eastAsia="仿宋_GB2312" w:cs="仿宋_GB2312"/>
          <w:b w:val="0"/>
          <w:bCs w:val="0"/>
          <w:kern w:val="0"/>
          <w:sz w:val="27"/>
          <w:szCs w:val="27"/>
        </w:rPr>
        <w:t>文化旅游体育与传媒支出决算数：8.34万元、上年决算数45.96万元。</w:t>
      </w:r>
    </w:p>
    <w:p>
      <w:pPr>
        <w:widowControl/>
        <w:spacing w:before="240" w:after="240"/>
        <w:jc w:val="left"/>
        <w:rPr>
          <w:rFonts w:ascii="Times New Roman" w:hAnsi="Times New Roman" w:eastAsia="Times New Roman" w:cs="Times New Roman"/>
          <w:b w:val="0"/>
          <w:bCs w:val="0"/>
          <w:kern w:val="0"/>
          <w:sz w:val="24"/>
        </w:rPr>
      </w:pPr>
      <w:r>
        <w:rPr>
          <w:rFonts w:ascii="仿宋_GB2312" w:hAnsi="仿宋_GB2312" w:eastAsia="仿宋_GB2312" w:cs="仿宋_GB2312"/>
          <w:b w:val="0"/>
          <w:bCs w:val="0"/>
          <w:kern w:val="0"/>
          <w:sz w:val="27"/>
          <w:szCs w:val="27"/>
        </w:rPr>
        <w:t>社会保障和就业支出决算数：270.03万元、上年决算数315.16万元。</w:t>
      </w:r>
    </w:p>
    <w:p>
      <w:pPr>
        <w:widowControl/>
        <w:spacing w:before="240" w:after="240"/>
        <w:jc w:val="left"/>
        <w:rPr>
          <w:rFonts w:ascii="Times New Roman" w:hAnsi="Times New Roman" w:eastAsia="Times New Roman" w:cs="Times New Roman"/>
          <w:b w:val="0"/>
          <w:bCs w:val="0"/>
          <w:kern w:val="0"/>
          <w:sz w:val="24"/>
        </w:rPr>
      </w:pPr>
      <w:r>
        <w:rPr>
          <w:rFonts w:ascii="仿宋_GB2312" w:hAnsi="仿宋_GB2312" w:eastAsia="仿宋_GB2312" w:cs="仿宋_GB2312"/>
          <w:b w:val="0"/>
          <w:bCs w:val="0"/>
          <w:kern w:val="0"/>
          <w:sz w:val="27"/>
          <w:szCs w:val="27"/>
        </w:rPr>
        <w:t>卫生健康支出决算数：51.66万元、上年决算数2.45万元。</w:t>
      </w:r>
    </w:p>
    <w:p>
      <w:pPr>
        <w:widowControl/>
        <w:spacing w:before="240" w:after="240"/>
        <w:jc w:val="left"/>
        <w:rPr>
          <w:rFonts w:ascii="Times New Roman" w:hAnsi="Times New Roman" w:eastAsia="Times New Roman" w:cs="Times New Roman"/>
          <w:b w:val="0"/>
          <w:bCs w:val="0"/>
          <w:kern w:val="0"/>
          <w:sz w:val="24"/>
        </w:rPr>
      </w:pPr>
      <w:r>
        <w:rPr>
          <w:rFonts w:ascii="仿宋_GB2312" w:hAnsi="仿宋_GB2312" w:eastAsia="仿宋_GB2312" w:cs="仿宋_GB2312"/>
          <w:b w:val="0"/>
          <w:bCs w:val="0"/>
          <w:kern w:val="0"/>
          <w:sz w:val="27"/>
          <w:szCs w:val="27"/>
        </w:rPr>
        <w:t>节能环保支出决算数：0 万元、上年决算数28.00万元。</w:t>
      </w:r>
    </w:p>
    <w:p>
      <w:pPr>
        <w:widowControl/>
        <w:spacing w:before="240" w:after="240"/>
        <w:jc w:val="left"/>
        <w:rPr>
          <w:rFonts w:ascii="Times New Roman" w:hAnsi="Times New Roman" w:eastAsia="Times New Roman" w:cs="Times New Roman"/>
          <w:b w:val="0"/>
          <w:bCs w:val="0"/>
          <w:kern w:val="0"/>
          <w:sz w:val="24"/>
        </w:rPr>
      </w:pPr>
      <w:r>
        <w:rPr>
          <w:rFonts w:ascii="仿宋_GB2312" w:hAnsi="仿宋_GB2312" w:eastAsia="仿宋_GB2312" w:cs="仿宋_GB2312"/>
          <w:b w:val="0"/>
          <w:bCs w:val="0"/>
          <w:kern w:val="0"/>
          <w:sz w:val="27"/>
          <w:szCs w:val="27"/>
        </w:rPr>
        <w:t>城乡社区支出决算数：0 万元、上年决算数0 万元。</w:t>
      </w:r>
    </w:p>
    <w:p>
      <w:pPr>
        <w:widowControl/>
        <w:spacing w:before="240" w:after="240"/>
        <w:jc w:val="left"/>
        <w:rPr>
          <w:rFonts w:ascii="Times New Roman" w:hAnsi="Times New Roman" w:eastAsia="Times New Roman" w:cs="Times New Roman"/>
          <w:b w:val="0"/>
          <w:bCs w:val="0"/>
          <w:kern w:val="0"/>
          <w:sz w:val="24"/>
        </w:rPr>
      </w:pPr>
      <w:r>
        <w:rPr>
          <w:rFonts w:ascii="仿宋_GB2312" w:hAnsi="仿宋_GB2312" w:eastAsia="仿宋_GB2312" w:cs="仿宋_GB2312"/>
          <w:b w:val="0"/>
          <w:bCs w:val="0"/>
          <w:kern w:val="0"/>
          <w:sz w:val="27"/>
          <w:szCs w:val="27"/>
        </w:rPr>
        <w:t>农林水支出决算数：1,739.19万元、上年决算数1,603.75万元。</w:t>
      </w:r>
    </w:p>
    <w:p>
      <w:pPr>
        <w:widowControl/>
        <w:spacing w:before="240" w:after="240"/>
        <w:jc w:val="left"/>
        <w:rPr>
          <w:rFonts w:ascii="Times New Roman" w:hAnsi="Times New Roman" w:eastAsia="Times New Roman" w:cs="Times New Roman"/>
          <w:b w:val="0"/>
          <w:bCs w:val="0"/>
          <w:kern w:val="0"/>
          <w:sz w:val="24"/>
        </w:rPr>
      </w:pPr>
      <w:r>
        <w:rPr>
          <w:rFonts w:ascii="仿宋_GB2312" w:hAnsi="仿宋_GB2312" w:eastAsia="仿宋_GB2312" w:cs="仿宋_GB2312"/>
          <w:b w:val="0"/>
          <w:bCs w:val="0"/>
          <w:kern w:val="0"/>
          <w:sz w:val="27"/>
          <w:szCs w:val="27"/>
        </w:rPr>
        <w:t>交通运输支出决算数：0 万元、上年决算数0 万元。</w:t>
      </w:r>
    </w:p>
    <w:p>
      <w:pPr>
        <w:widowControl/>
        <w:spacing w:before="240" w:after="240"/>
        <w:jc w:val="left"/>
        <w:rPr>
          <w:rFonts w:ascii="Times New Roman" w:hAnsi="Times New Roman" w:eastAsia="Times New Roman" w:cs="Times New Roman"/>
          <w:b w:val="0"/>
          <w:bCs w:val="0"/>
          <w:kern w:val="0"/>
          <w:sz w:val="24"/>
        </w:rPr>
      </w:pPr>
      <w:r>
        <w:rPr>
          <w:rFonts w:ascii="仿宋_GB2312" w:hAnsi="仿宋_GB2312" w:eastAsia="仿宋_GB2312" w:cs="仿宋_GB2312"/>
          <w:b w:val="0"/>
          <w:bCs w:val="0"/>
          <w:kern w:val="0"/>
          <w:sz w:val="27"/>
          <w:szCs w:val="27"/>
        </w:rPr>
        <w:t>资源勘探工业信息等支出决算数：0 万元、上年决算数0 万元。</w:t>
      </w:r>
    </w:p>
    <w:p>
      <w:pPr>
        <w:widowControl/>
        <w:spacing w:before="240" w:after="240"/>
        <w:jc w:val="left"/>
        <w:rPr>
          <w:rFonts w:ascii="Times New Roman" w:hAnsi="Times New Roman" w:eastAsia="Times New Roman" w:cs="Times New Roman"/>
          <w:b w:val="0"/>
          <w:bCs w:val="0"/>
          <w:kern w:val="0"/>
          <w:sz w:val="24"/>
        </w:rPr>
      </w:pPr>
      <w:r>
        <w:rPr>
          <w:rFonts w:ascii="仿宋_GB2312" w:hAnsi="仿宋_GB2312" w:eastAsia="仿宋_GB2312" w:cs="仿宋_GB2312"/>
          <w:b w:val="0"/>
          <w:bCs w:val="0"/>
          <w:kern w:val="0"/>
          <w:sz w:val="27"/>
          <w:szCs w:val="27"/>
        </w:rPr>
        <w:t>商业服务业等支出决算数：0 万元、上年决算数0 万元。</w:t>
      </w:r>
    </w:p>
    <w:p>
      <w:pPr>
        <w:widowControl/>
        <w:spacing w:before="240" w:after="240"/>
        <w:jc w:val="left"/>
        <w:rPr>
          <w:rFonts w:ascii="Times New Roman" w:hAnsi="Times New Roman" w:eastAsia="Times New Roman" w:cs="Times New Roman"/>
          <w:b w:val="0"/>
          <w:bCs w:val="0"/>
          <w:kern w:val="0"/>
          <w:sz w:val="24"/>
        </w:rPr>
      </w:pPr>
      <w:r>
        <w:rPr>
          <w:rFonts w:ascii="仿宋_GB2312" w:hAnsi="仿宋_GB2312" w:eastAsia="仿宋_GB2312" w:cs="仿宋_GB2312"/>
          <w:b w:val="0"/>
          <w:bCs w:val="0"/>
          <w:kern w:val="0"/>
          <w:sz w:val="27"/>
          <w:szCs w:val="27"/>
        </w:rPr>
        <w:t>金融支出决算数：0 万元、上年决算数0 万元。</w:t>
      </w:r>
    </w:p>
    <w:p>
      <w:pPr>
        <w:widowControl/>
        <w:spacing w:before="240" w:after="240"/>
        <w:jc w:val="left"/>
        <w:rPr>
          <w:rFonts w:ascii="Times New Roman" w:hAnsi="Times New Roman" w:eastAsia="Times New Roman" w:cs="Times New Roman"/>
          <w:b w:val="0"/>
          <w:bCs w:val="0"/>
          <w:kern w:val="0"/>
          <w:sz w:val="24"/>
        </w:rPr>
      </w:pPr>
      <w:r>
        <w:rPr>
          <w:rFonts w:ascii="仿宋_GB2312" w:hAnsi="仿宋_GB2312" w:eastAsia="仿宋_GB2312" w:cs="仿宋_GB2312"/>
          <w:b w:val="0"/>
          <w:bCs w:val="0"/>
          <w:kern w:val="0"/>
          <w:sz w:val="27"/>
          <w:szCs w:val="27"/>
        </w:rPr>
        <w:t>援助其他地区支出决算数：0 万元、上年决算数0 万元。</w:t>
      </w:r>
    </w:p>
    <w:p>
      <w:pPr>
        <w:widowControl/>
        <w:spacing w:before="240" w:after="240"/>
        <w:jc w:val="left"/>
        <w:rPr>
          <w:rFonts w:ascii="Times New Roman" w:hAnsi="Times New Roman" w:eastAsia="Times New Roman" w:cs="Times New Roman"/>
          <w:b w:val="0"/>
          <w:bCs w:val="0"/>
          <w:kern w:val="0"/>
          <w:sz w:val="24"/>
        </w:rPr>
      </w:pPr>
      <w:r>
        <w:rPr>
          <w:rFonts w:ascii="仿宋_GB2312" w:hAnsi="仿宋_GB2312" w:eastAsia="仿宋_GB2312" w:cs="仿宋_GB2312"/>
          <w:b w:val="0"/>
          <w:bCs w:val="0"/>
          <w:kern w:val="0"/>
          <w:sz w:val="27"/>
          <w:szCs w:val="27"/>
        </w:rPr>
        <w:t>自然资源海洋气象等支出决算数：0 万元、上年决算数0 万元。</w:t>
      </w:r>
    </w:p>
    <w:p>
      <w:pPr>
        <w:widowControl/>
        <w:spacing w:before="240" w:after="240"/>
        <w:jc w:val="left"/>
        <w:rPr>
          <w:rFonts w:ascii="Times New Roman" w:hAnsi="Times New Roman" w:eastAsia="Times New Roman" w:cs="Times New Roman"/>
          <w:b w:val="0"/>
          <w:bCs w:val="0"/>
          <w:kern w:val="0"/>
          <w:sz w:val="24"/>
        </w:rPr>
      </w:pPr>
      <w:r>
        <w:rPr>
          <w:rFonts w:ascii="仿宋_GB2312" w:hAnsi="仿宋_GB2312" w:eastAsia="仿宋_GB2312" w:cs="仿宋_GB2312"/>
          <w:b w:val="0"/>
          <w:bCs w:val="0"/>
          <w:kern w:val="0"/>
          <w:sz w:val="27"/>
          <w:szCs w:val="27"/>
        </w:rPr>
        <w:t>住房保障支出决算数：82.06万元、上年决算数75.92万元。</w:t>
      </w:r>
    </w:p>
    <w:p>
      <w:pPr>
        <w:widowControl/>
        <w:spacing w:before="240" w:after="240"/>
        <w:jc w:val="left"/>
        <w:rPr>
          <w:rFonts w:ascii="Times New Roman" w:hAnsi="Times New Roman" w:eastAsia="Times New Roman" w:cs="Times New Roman"/>
          <w:b w:val="0"/>
          <w:bCs w:val="0"/>
          <w:kern w:val="0"/>
          <w:sz w:val="24"/>
        </w:rPr>
      </w:pPr>
      <w:r>
        <w:rPr>
          <w:rFonts w:ascii="仿宋_GB2312" w:hAnsi="仿宋_GB2312" w:eastAsia="仿宋_GB2312" w:cs="仿宋_GB2312"/>
          <w:b w:val="0"/>
          <w:bCs w:val="0"/>
          <w:kern w:val="0"/>
          <w:sz w:val="27"/>
          <w:szCs w:val="27"/>
        </w:rPr>
        <w:t>粮油物资储备支出决算数：0 万元、上年决算数0 万元。</w:t>
      </w:r>
    </w:p>
    <w:p>
      <w:pPr>
        <w:widowControl/>
        <w:spacing w:before="240" w:after="240"/>
        <w:jc w:val="left"/>
        <w:rPr>
          <w:rFonts w:ascii="Times New Roman" w:hAnsi="Times New Roman" w:eastAsia="Times New Roman" w:cs="Times New Roman"/>
          <w:b w:val="0"/>
          <w:bCs w:val="0"/>
          <w:kern w:val="0"/>
          <w:sz w:val="24"/>
        </w:rPr>
      </w:pPr>
      <w:r>
        <w:rPr>
          <w:rFonts w:ascii="仿宋_GB2312" w:hAnsi="仿宋_GB2312" w:eastAsia="仿宋_GB2312" w:cs="仿宋_GB2312"/>
          <w:b w:val="0"/>
          <w:bCs w:val="0"/>
          <w:kern w:val="0"/>
          <w:sz w:val="27"/>
          <w:szCs w:val="27"/>
        </w:rPr>
        <w:t>国有资本经营预算支出决算数：0 万元、上年决算数0 万元。</w:t>
      </w:r>
    </w:p>
    <w:p>
      <w:pPr>
        <w:widowControl/>
        <w:spacing w:before="240" w:after="240"/>
        <w:jc w:val="left"/>
        <w:rPr>
          <w:rFonts w:ascii="Times New Roman" w:hAnsi="Times New Roman" w:eastAsia="Times New Roman" w:cs="Times New Roman"/>
          <w:b w:val="0"/>
          <w:bCs w:val="0"/>
          <w:kern w:val="0"/>
          <w:sz w:val="24"/>
        </w:rPr>
      </w:pPr>
      <w:r>
        <w:rPr>
          <w:rFonts w:ascii="仿宋_GB2312" w:hAnsi="仿宋_GB2312" w:eastAsia="仿宋_GB2312" w:cs="仿宋_GB2312"/>
          <w:b w:val="0"/>
          <w:bCs w:val="0"/>
          <w:kern w:val="0"/>
          <w:sz w:val="27"/>
          <w:szCs w:val="27"/>
        </w:rPr>
        <w:t>灾害防治及应急管理支出决算数：0 万元、上年决算数5.00万元。</w:t>
      </w:r>
    </w:p>
    <w:p>
      <w:pPr>
        <w:widowControl/>
        <w:spacing w:before="240" w:after="240"/>
        <w:jc w:val="left"/>
        <w:rPr>
          <w:rFonts w:ascii="Times New Roman" w:hAnsi="Times New Roman" w:eastAsia="Times New Roman" w:cs="Times New Roman"/>
          <w:b w:val="0"/>
          <w:bCs w:val="0"/>
          <w:kern w:val="0"/>
          <w:sz w:val="24"/>
        </w:rPr>
      </w:pPr>
      <w:r>
        <w:rPr>
          <w:rFonts w:ascii="仿宋_GB2312" w:hAnsi="仿宋_GB2312" w:eastAsia="仿宋_GB2312" w:cs="仿宋_GB2312"/>
          <w:b w:val="0"/>
          <w:bCs w:val="0"/>
          <w:kern w:val="0"/>
          <w:sz w:val="27"/>
          <w:szCs w:val="27"/>
        </w:rPr>
        <w:t>其他支出决算数：0 万元、上年决算数0 万元。</w:t>
      </w:r>
    </w:p>
    <w:p>
      <w:pPr>
        <w:widowControl/>
        <w:spacing w:before="240" w:after="240"/>
        <w:jc w:val="left"/>
        <w:rPr>
          <w:rFonts w:ascii="Times New Roman" w:hAnsi="Times New Roman" w:eastAsia="Times New Roman" w:cs="Times New Roman"/>
          <w:b w:val="0"/>
          <w:bCs w:val="0"/>
          <w:kern w:val="0"/>
          <w:sz w:val="24"/>
        </w:rPr>
      </w:pPr>
      <w:r>
        <w:rPr>
          <w:rFonts w:ascii="仿宋_GB2312" w:hAnsi="仿宋_GB2312" w:eastAsia="仿宋_GB2312" w:cs="仿宋_GB2312"/>
          <w:b w:val="0"/>
          <w:bCs w:val="0"/>
          <w:kern w:val="0"/>
          <w:sz w:val="27"/>
          <w:szCs w:val="27"/>
        </w:rPr>
        <w:t>债务还本支出决算数：0 万元、上年决算数0 万元。</w:t>
      </w:r>
    </w:p>
    <w:p>
      <w:pPr>
        <w:widowControl/>
        <w:spacing w:before="240" w:after="240"/>
        <w:jc w:val="left"/>
        <w:rPr>
          <w:rFonts w:ascii="Times New Roman" w:hAnsi="Times New Roman" w:eastAsia="Times New Roman" w:cs="Times New Roman"/>
          <w:b w:val="0"/>
          <w:bCs w:val="0"/>
          <w:kern w:val="0"/>
          <w:sz w:val="24"/>
        </w:rPr>
      </w:pPr>
      <w:r>
        <w:rPr>
          <w:rFonts w:ascii="仿宋_GB2312" w:hAnsi="仿宋_GB2312" w:eastAsia="仿宋_GB2312" w:cs="仿宋_GB2312"/>
          <w:b w:val="0"/>
          <w:bCs w:val="0"/>
          <w:kern w:val="0"/>
          <w:sz w:val="27"/>
          <w:szCs w:val="27"/>
        </w:rPr>
        <w:t>债务付息支出决算数：0 万元、上年决算数0 万元。</w:t>
      </w:r>
    </w:p>
    <w:p>
      <w:pPr>
        <w:widowControl/>
        <w:spacing w:before="240" w:after="240"/>
        <w:jc w:val="left"/>
        <w:rPr>
          <w:rFonts w:ascii="Times New Roman" w:hAnsi="Times New Roman" w:eastAsia="Times New Roman" w:cs="Times New Roman"/>
          <w:b w:val="0"/>
          <w:bCs w:val="0"/>
          <w:kern w:val="0"/>
          <w:sz w:val="24"/>
        </w:rPr>
      </w:pPr>
      <w:r>
        <w:rPr>
          <w:rFonts w:ascii="仿宋_GB2312" w:hAnsi="仿宋_GB2312" w:eastAsia="仿宋_GB2312" w:cs="仿宋_GB2312"/>
          <w:b w:val="0"/>
          <w:bCs w:val="0"/>
          <w:kern w:val="0"/>
          <w:sz w:val="27"/>
          <w:szCs w:val="27"/>
        </w:rPr>
        <w:t>抗疫特别国债安排的支出决算数：0 万元、上年决算数0 万元。  </w:t>
      </w:r>
    </w:p>
    <w:p>
      <w:pPr>
        <w:pStyle w:val="5"/>
        <w:keepNext w:val="0"/>
        <w:keepLines w:val="0"/>
        <w:widowControl/>
        <w:spacing w:before="319" w:after="319" w:line="240" w:lineRule="auto"/>
        <w:jc w:val="left"/>
        <w:rPr>
          <w:rFonts w:ascii="Times New Roman" w:hAnsi="Times New Roman" w:eastAsia="Times New Roman" w:cs="Times New Roman"/>
          <w:b/>
          <w:bCs/>
          <w:kern w:val="0"/>
          <w:sz w:val="24"/>
        </w:rPr>
      </w:pPr>
      <w:r>
        <w:rPr>
          <w:rFonts w:ascii="Calibri" w:hAnsi="Calibri" w:eastAsia="Calibri" w:cs="Calibri"/>
          <w:kern w:val="0"/>
          <w:sz w:val="27"/>
          <w:szCs w:val="27"/>
        </w:rPr>
        <w:t> </w:t>
      </w:r>
      <w:r>
        <w:rPr>
          <w:rFonts w:ascii="黑体" w:hAnsi="黑体" w:eastAsia="黑体" w:cs="黑体"/>
          <w:kern w:val="0"/>
          <w:sz w:val="27"/>
          <w:szCs w:val="27"/>
        </w:rPr>
        <w:t xml:space="preserve"> </w:t>
      </w:r>
      <w:r>
        <w:rPr>
          <w:rFonts w:ascii="Calibri" w:hAnsi="Calibri" w:eastAsia="Calibri" w:cs="Calibri"/>
          <w:kern w:val="0"/>
          <w:sz w:val="27"/>
          <w:szCs w:val="27"/>
        </w:rPr>
        <w:t> </w:t>
      </w:r>
      <w:r>
        <w:rPr>
          <w:rFonts w:ascii="黑体" w:hAnsi="黑体" w:eastAsia="黑体" w:cs="黑体"/>
          <w:kern w:val="0"/>
          <w:sz w:val="27"/>
          <w:szCs w:val="27"/>
        </w:rPr>
        <w:t xml:space="preserve"> </w:t>
      </w:r>
      <w:r>
        <w:rPr>
          <w:rFonts w:ascii="Calibri" w:hAnsi="Calibri" w:eastAsia="Calibri" w:cs="Calibri"/>
          <w:kern w:val="0"/>
          <w:sz w:val="27"/>
          <w:szCs w:val="27"/>
        </w:rPr>
        <w:t> </w:t>
      </w:r>
      <w:r>
        <w:rPr>
          <w:rFonts w:ascii="黑体" w:hAnsi="黑体" w:eastAsia="黑体" w:cs="黑体"/>
          <w:kern w:val="0"/>
          <w:sz w:val="27"/>
          <w:szCs w:val="27"/>
        </w:rPr>
        <w:t xml:space="preserve"> 1．收入支出与预算对比分析。</w:t>
      </w:r>
    </w:p>
    <w:p>
      <w:pPr>
        <w:widowControl/>
        <w:spacing w:before="240" w:after="240"/>
        <w:jc w:val="left"/>
        <w:rPr>
          <w:rFonts w:ascii="仿宋_GB2312" w:hAnsi="仿宋_GB2312" w:eastAsia="仿宋_GB2312" w:cs="仿宋_GB2312"/>
          <w:b w:val="0"/>
          <w:bCs w:val="0"/>
          <w:kern w:val="0"/>
          <w:sz w:val="27"/>
          <w:szCs w:val="27"/>
        </w:rPr>
      </w:pPr>
      <w:r>
        <w:rPr>
          <w:rFonts w:ascii="Times New Roman" w:hAnsi="Times New Roman" w:eastAsia="Times New Roman" w:cs="Times New Roman"/>
          <w:b w:val="0"/>
          <w:bCs w:val="0"/>
          <w:kern w:val="0"/>
          <w:sz w:val="24"/>
        </w:rPr>
        <w:t>         </w:t>
      </w:r>
      <w:r>
        <w:rPr>
          <w:rFonts w:ascii="仿宋_GB2312" w:hAnsi="仿宋_GB2312" w:eastAsia="仿宋_GB2312" w:cs="仿宋_GB2312"/>
          <w:b w:val="0"/>
          <w:bCs w:val="0"/>
          <w:kern w:val="0"/>
          <w:sz w:val="27"/>
          <w:szCs w:val="27"/>
        </w:rPr>
        <w:t>（1）预、决算差异情况，可分收入支出功能科目、分单位、分收入支出具体项目逐项对比（可列表）。</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06"/>
        <w:gridCol w:w="340"/>
        <w:gridCol w:w="618"/>
        <w:gridCol w:w="618"/>
        <w:gridCol w:w="618"/>
        <w:gridCol w:w="1144"/>
        <w:gridCol w:w="340"/>
        <w:gridCol w:w="618"/>
        <w:gridCol w:w="618"/>
        <w:gridCol w:w="618"/>
        <w:gridCol w:w="1021"/>
        <w:gridCol w:w="340"/>
        <w:gridCol w:w="619"/>
        <w:gridCol w:w="619"/>
        <w:gridCol w:w="6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05" w:type="pct"/>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编制单位：奈曼旗东明镇人民政府</w:t>
            </w:r>
          </w:p>
        </w:tc>
        <w:tc>
          <w:tcPr>
            <w:tcW w:w="170" w:type="pct"/>
            <w:tcBorders>
              <w:top w:val="nil"/>
              <w:left w:val="nil"/>
              <w:bottom w:val="nil"/>
              <w:right w:val="nil"/>
            </w:tcBorders>
            <w:shd w:val="clear"/>
            <w:noWrap/>
            <w:vAlign w:val="bottom"/>
          </w:tcPr>
          <w:p>
            <w:pPr>
              <w:rPr>
                <w:rFonts w:hint="default" w:ascii="等线" w:hAnsi="等线" w:eastAsia="等线" w:cs="等线"/>
                <w:i w:val="0"/>
                <w:iCs w:val="0"/>
                <w:color w:val="000000"/>
                <w:sz w:val="15"/>
                <w:szCs w:val="15"/>
                <w:u w:val="none"/>
              </w:rPr>
            </w:pPr>
          </w:p>
        </w:tc>
        <w:tc>
          <w:tcPr>
            <w:tcW w:w="310" w:type="pct"/>
            <w:tcBorders>
              <w:top w:val="nil"/>
              <w:left w:val="nil"/>
              <w:bottom w:val="nil"/>
              <w:right w:val="nil"/>
            </w:tcBorders>
            <w:shd w:val="clear"/>
            <w:noWrap/>
            <w:vAlign w:val="bottom"/>
          </w:tcPr>
          <w:p>
            <w:pPr>
              <w:rPr>
                <w:rFonts w:hint="default" w:ascii="等线" w:hAnsi="等线" w:eastAsia="等线" w:cs="等线"/>
                <w:i w:val="0"/>
                <w:iCs w:val="0"/>
                <w:color w:val="000000"/>
                <w:sz w:val="15"/>
                <w:szCs w:val="15"/>
                <w:u w:val="none"/>
              </w:rPr>
            </w:pPr>
          </w:p>
        </w:tc>
        <w:tc>
          <w:tcPr>
            <w:tcW w:w="310" w:type="pct"/>
            <w:tcBorders>
              <w:top w:val="nil"/>
              <w:left w:val="nil"/>
              <w:bottom w:val="nil"/>
              <w:right w:val="nil"/>
            </w:tcBorders>
            <w:shd w:val="clear"/>
            <w:noWrap/>
            <w:vAlign w:val="bottom"/>
          </w:tcPr>
          <w:p>
            <w:pPr>
              <w:rPr>
                <w:rFonts w:hint="default" w:ascii="等线" w:hAnsi="等线" w:eastAsia="等线" w:cs="等线"/>
                <w:i w:val="0"/>
                <w:iCs w:val="0"/>
                <w:color w:val="000000"/>
                <w:sz w:val="15"/>
                <w:szCs w:val="15"/>
                <w:u w:val="none"/>
              </w:rPr>
            </w:pPr>
          </w:p>
        </w:tc>
        <w:tc>
          <w:tcPr>
            <w:tcW w:w="310" w:type="pct"/>
            <w:tcBorders>
              <w:top w:val="nil"/>
              <w:left w:val="nil"/>
              <w:bottom w:val="nil"/>
              <w:right w:val="nil"/>
            </w:tcBorders>
            <w:shd w:val="clear"/>
            <w:noWrap/>
            <w:vAlign w:val="bottom"/>
          </w:tcPr>
          <w:p>
            <w:pPr>
              <w:rPr>
                <w:rFonts w:hint="default" w:ascii="等线" w:hAnsi="等线" w:eastAsia="等线" w:cs="等线"/>
                <w:i w:val="0"/>
                <w:iCs w:val="0"/>
                <w:color w:val="000000"/>
                <w:sz w:val="15"/>
                <w:szCs w:val="15"/>
                <w:u w:val="none"/>
              </w:rPr>
            </w:pPr>
          </w:p>
        </w:tc>
        <w:tc>
          <w:tcPr>
            <w:tcW w:w="574" w:type="pct"/>
            <w:tcBorders>
              <w:top w:val="nil"/>
              <w:left w:val="nil"/>
              <w:bottom w:val="nil"/>
              <w:right w:val="nil"/>
            </w:tcBorders>
            <w:shd w:val="clear"/>
            <w:noWrap/>
            <w:vAlign w:val="bottom"/>
          </w:tcPr>
          <w:p>
            <w:pPr>
              <w:rPr>
                <w:rFonts w:hint="default" w:ascii="等线" w:hAnsi="等线" w:eastAsia="等线" w:cs="等线"/>
                <w:i w:val="0"/>
                <w:iCs w:val="0"/>
                <w:color w:val="000000"/>
                <w:sz w:val="15"/>
                <w:szCs w:val="15"/>
                <w:u w:val="none"/>
              </w:rPr>
            </w:pPr>
          </w:p>
        </w:tc>
        <w:tc>
          <w:tcPr>
            <w:tcW w:w="170" w:type="pct"/>
            <w:tcBorders>
              <w:top w:val="nil"/>
              <w:left w:val="nil"/>
              <w:bottom w:val="nil"/>
              <w:right w:val="nil"/>
            </w:tcBorders>
            <w:shd w:val="clear"/>
            <w:noWrap/>
            <w:vAlign w:val="bottom"/>
          </w:tcPr>
          <w:p>
            <w:pPr>
              <w:rPr>
                <w:rFonts w:hint="default" w:ascii="等线" w:hAnsi="等线" w:eastAsia="等线" w:cs="等线"/>
                <w:i w:val="0"/>
                <w:iCs w:val="0"/>
                <w:color w:val="000000"/>
                <w:sz w:val="15"/>
                <w:szCs w:val="15"/>
                <w:u w:val="none"/>
              </w:rPr>
            </w:pPr>
          </w:p>
        </w:tc>
        <w:tc>
          <w:tcPr>
            <w:tcW w:w="310" w:type="pct"/>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2024年度</w:t>
            </w:r>
          </w:p>
        </w:tc>
        <w:tc>
          <w:tcPr>
            <w:tcW w:w="310" w:type="pct"/>
            <w:tcBorders>
              <w:top w:val="nil"/>
              <w:left w:val="nil"/>
              <w:bottom w:val="nil"/>
              <w:right w:val="nil"/>
            </w:tcBorders>
            <w:shd w:val="clear"/>
            <w:noWrap/>
            <w:vAlign w:val="bottom"/>
          </w:tcPr>
          <w:p>
            <w:pPr>
              <w:rPr>
                <w:rFonts w:hint="default" w:ascii="等线" w:hAnsi="等线" w:eastAsia="等线" w:cs="等线"/>
                <w:i w:val="0"/>
                <w:iCs w:val="0"/>
                <w:color w:val="000000"/>
                <w:sz w:val="15"/>
                <w:szCs w:val="15"/>
                <w:u w:val="none"/>
              </w:rPr>
            </w:pPr>
          </w:p>
        </w:tc>
        <w:tc>
          <w:tcPr>
            <w:tcW w:w="310" w:type="pct"/>
            <w:tcBorders>
              <w:top w:val="nil"/>
              <w:left w:val="nil"/>
              <w:bottom w:val="nil"/>
              <w:right w:val="nil"/>
            </w:tcBorders>
            <w:shd w:val="clear"/>
            <w:noWrap/>
            <w:vAlign w:val="bottom"/>
          </w:tcPr>
          <w:p>
            <w:pPr>
              <w:rPr>
                <w:rFonts w:hint="default" w:ascii="等线" w:hAnsi="等线" w:eastAsia="等线" w:cs="等线"/>
                <w:i w:val="0"/>
                <w:iCs w:val="0"/>
                <w:color w:val="000000"/>
                <w:sz w:val="15"/>
                <w:szCs w:val="15"/>
                <w:u w:val="none"/>
              </w:rPr>
            </w:pPr>
          </w:p>
        </w:tc>
        <w:tc>
          <w:tcPr>
            <w:tcW w:w="512" w:type="pct"/>
            <w:tcBorders>
              <w:top w:val="nil"/>
              <w:left w:val="nil"/>
              <w:bottom w:val="nil"/>
              <w:right w:val="nil"/>
            </w:tcBorders>
            <w:shd w:val="clear"/>
            <w:noWrap/>
            <w:vAlign w:val="bottom"/>
          </w:tcPr>
          <w:p>
            <w:pPr>
              <w:rPr>
                <w:rFonts w:hint="default" w:ascii="等线" w:hAnsi="等线" w:eastAsia="等线" w:cs="等线"/>
                <w:i w:val="0"/>
                <w:iCs w:val="0"/>
                <w:color w:val="000000"/>
                <w:sz w:val="15"/>
                <w:szCs w:val="15"/>
                <w:u w:val="none"/>
              </w:rPr>
            </w:pPr>
          </w:p>
        </w:tc>
        <w:tc>
          <w:tcPr>
            <w:tcW w:w="170" w:type="pct"/>
            <w:tcBorders>
              <w:top w:val="nil"/>
              <w:left w:val="nil"/>
              <w:bottom w:val="nil"/>
              <w:right w:val="nil"/>
            </w:tcBorders>
            <w:shd w:val="clear"/>
            <w:noWrap/>
            <w:vAlign w:val="bottom"/>
          </w:tcPr>
          <w:p>
            <w:pPr>
              <w:rPr>
                <w:rFonts w:hint="default" w:ascii="等线" w:hAnsi="等线" w:eastAsia="等线" w:cs="等线"/>
                <w:i w:val="0"/>
                <w:iCs w:val="0"/>
                <w:color w:val="000000"/>
                <w:sz w:val="15"/>
                <w:szCs w:val="15"/>
                <w:u w:val="none"/>
              </w:rPr>
            </w:pPr>
          </w:p>
        </w:tc>
        <w:tc>
          <w:tcPr>
            <w:tcW w:w="310" w:type="pct"/>
            <w:tcBorders>
              <w:top w:val="nil"/>
              <w:left w:val="nil"/>
              <w:bottom w:val="nil"/>
              <w:right w:val="nil"/>
            </w:tcBorders>
            <w:shd w:val="clear"/>
            <w:noWrap/>
            <w:vAlign w:val="bottom"/>
          </w:tcPr>
          <w:p>
            <w:pPr>
              <w:rPr>
                <w:rFonts w:hint="default" w:ascii="等线" w:hAnsi="等线" w:eastAsia="等线" w:cs="等线"/>
                <w:i w:val="0"/>
                <w:iCs w:val="0"/>
                <w:color w:val="000000"/>
                <w:sz w:val="15"/>
                <w:szCs w:val="15"/>
                <w:u w:val="none"/>
              </w:rPr>
            </w:pPr>
          </w:p>
        </w:tc>
        <w:tc>
          <w:tcPr>
            <w:tcW w:w="310" w:type="pct"/>
            <w:tcBorders>
              <w:top w:val="nil"/>
              <w:left w:val="nil"/>
              <w:bottom w:val="nil"/>
              <w:right w:val="nil"/>
            </w:tcBorders>
            <w:shd w:val="clear"/>
            <w:noWrap/>
            <w:vAlign w:val="bottom"/>
          </w:tcPr>
          <w:p>
            <w:pPr>
              <w:rPr>
                <w:rFonts w:hint="default" w:ascii="等线" w:hAnsi="等线" w:eastAsia="等线" w:cs="等线"/>
                <w:i w:val="0"/>
                <w:iCs w:val="0"/>
                <w:color w:val="000000"/>
                <w:sz w:val="15"/>
                <w:szCs w:val="15"/>
                <w:u w:val="none"/>
              </w:rPr>
            </w:pPr>
          </w:p>
        </w:tc>
        <w:tc>
          <w:tcPr>
            <w:tcW w:w="310" w:type="pct"/>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bdr w:val="none" w:color="auto" w:sz="0" w:space="0"/>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707" w:type="pct"/>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收     入</w:t>
            </w:r>
          </w:p>
        </w:tc>
        <w:tc>
          <w:tcPr>
            <w:tcW w:w="3292" w:type="pct"/>
            <w:gridSpan w:val="10"/>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项     目</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行次</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年初预算数</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全年预算数</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决算数</w:t>
            </w:r>
          </w:p>
        </w:tc>
        <w:tc>
          <w:tcPr>
            <w:tcW w:w="57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项目(按功能分类)</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行次</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年初预算数</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全年预算数</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决算数</w:t>
            </w:r>
          </w:p>
        </w:tc>
        <w:tc>
          <w:tcPr>
            <w:tcW w:w="51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项目(按支出性质和经济分类)</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行次</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年初预算数</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全年预算数</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栏     次</w:t>
            </w:r>
          </w:p>
        </w:tc>
        <w:tc>
          <w:tcPr>
            <w:tcW w:w="170" w:type="pct"/>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w:t>
            </w:r>
          </w:p>
        </w:tc>
        <w:tc>
          <w:tcPr>
            <w:tcW w:w="57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栏     次</w:t>
            </w:r>
          </w:p>
        </w:tc>
        <w:tc>
          <w:tcPr>
            <w:tcW w:w="170" w:type="pct"/>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w:t>
            </w:r>
          </w:p>
        </w:tc>
        <w:tc>
          <w:tcPr>
            <w:tcW w:w="51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栏     次</w:t>
            </w:r>
          </w:p>
        </w:tc>
        <w:tc>
          <w:tcPr>
            <w:tcW w:w="170" w:type="pct"/>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一、一般公共预算财政拨款收入</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26,909,765.04 </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42,899,879.05 </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36,854,963.04 </w:t>
            </w:r>
          </w:p>
        </w:tc>
        <w:tc>
          <w:tcPr>
            <w:tcW w:w="57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一、一般公共服务支出</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32</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15,629,449.06 </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16,304,524.07 </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15,342,111.71 </w:t>
            </w:r>
          </w:p>
        </w:tc>
        <w:tc>
          <w:tcPr>
            <w:tcW w:w="51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一、基本支出</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58</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19,199,265.04 </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19,222,748.62 </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18,409,940.82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二、政府性基金预算财政拨款收入</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150,000.00 </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150,000.00 </w:t>
            </w:r>
          </w:p>
        </w:tc>
        <w:tc>
          <w:tcPr>
            <w:tcW w:w="57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二、外交支出</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33</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51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人员经费</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59</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16,154,465.04 </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15,068,509.75 </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14,694,606.16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三、国有资本经营预算财政拨款收入</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57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三、国防支出</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34</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51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公用经费</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60</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3,044,800.00 </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4,154,238.87 </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3,715,334.66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四、上级补助收入</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57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四、公共安全支出</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35</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51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二、项目支出</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61</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10,267,333.36 </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23,827,130.43 </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18,595,022.22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五、事业收入</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57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五、教育支出</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36</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51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其中：基本建设类项目</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62</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六、经营收入</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57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六、科学技术支出</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37</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51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三、上缴上级支出</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63</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七、附属单位上缴收入</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57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七、文化旅游体育与传媒支出</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38</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157,293.08 </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83,371.00 </w:t>
            </w:r>
          </w:p>
        </w:tc>
        <w:tc>
          <w:tcPr>
            <w:tcW w:w="51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四、经营支出</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64</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八、其他收入</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57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八、社会保障和就业支出</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39</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3,706,722.27 </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3,120,576.69 </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2,700,306.41 </w:t>
            </w:r>
          </w:p>
        </w:tc>
        <w:tc>
          <w:tcPr>
            <w:tcW w:w="51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五、对附属单位补助支出</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65</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5" w:type="pct"/>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5"/>
                <w:szCs w:val="15"/>
                <w:u w:val="none"/>
              </w:rPr>
            </w:pP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9</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57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九、卫生健康支出</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40</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563,584.63 </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516,647.92 </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516,647.92 </w:t>
            </w:r>
          </w:p>
        </w:tc>
        <w:tc>
          <w:tcPr>
            <w:tcW w:w="512" w:type="pct"/>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5"/>
                <w:szCs w:val="15"/>
                <w:u w:val="none"/>
              </w:rPr>
            </w:pP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66</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5" w:type="pct"/>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5"/>
                <w:szCs w:val="15"/>
                <w:u w:val="none"/>
              </w:rPr>
            </w:pP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10</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57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十、节能环保支出</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41</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450,000.00 </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512" w:type="pct"/>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5"/>
                <w:szCs w:val="15"/>
                <w:u w:val="none"/>
              </w:rPr>
            </w:pP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67</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5" w:type="pct"/>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5"/>
                <w:szCs w:val="15"/>
                <w:u w:val="none"/>
              </w:rPr>
            </w:pP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11</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57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十一、城乡社区支出</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42</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51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经济分类支出合计</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68</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37,004,963.04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5" w:type="pct"/>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5"/>
                <w:szCs w:val="15"/>
                <w:u w:val="none"/>
              </w:rPr>
            </w:pP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12</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57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十二、农林水支出</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43</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8,361,398.41 </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21,330,254.29 </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17,391,943.00 </w:t>
            </w:r>
          </w:p>
        </w:tc>
        <w:tc>
          <w:tcPr>
            <w:tcW w:w="51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一、工资福利支出</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69</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13,171,354.04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5" w:type="pct"/>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5"/>
                <w:szCs w:val="15"/>
                <w:u w:val="none"/>
              </w:rPr>
            </w:pP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13</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57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十三、交通运输支出</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44</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51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二、商品和服务支出</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70</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4,531,255.57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5" w:type="pct"/>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5"/>
                <w:szCs w:val="15"/>
                <w:u w:val="none"/>
              </w:rPr>
            </w:pP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14</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57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十四、资源勘探工业信息等支出</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45</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51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三、对个人和家庭的补助</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71</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8,062,687.91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5" w:type="pct"/>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5"/>
                <w:szCs w:val="15"/>
                <w:u w:val="none"/>
              </w:rPr>
            </w:pP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15</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57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十五、商业服务业等支出</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46</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51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四、债务利息及费用支出</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72</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5" w:type="pct"/>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5"/>
                <w:szCs w:val="15"/>
                <w:u w:val="none"/>
              </w:rPr>
            </w:pP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16</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57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十六、金融支出</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47</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51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五、资本性支出（基本建设）</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73</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5" w:type="pct"/>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5"/>
                <w:szCs w:val="15"/>
                <w:u w:val="none"/>
              </w:rPr>
            </w:pP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17</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57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十七、援助其他地区支出</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48</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51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六、资本性支出</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74</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11,239,665.52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5" w:type="pct"/>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5"/>
                <w:szCs w:val="15"/>
                <w:u w:val="none"/>
              </w:rPr>
            </w:pP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18</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57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十八、自然资源海洋气象等支出</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49</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100,000.00 </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51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七、对企业补助（基本建设）</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75</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5" w:type="pct"/>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5"/>
                <w:szCs w:val="15"/>
                <w:u w:val="none"/>
              </w:rPr>
            </w:pP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19</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57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十九、住房保障支出</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50</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852,376.36 </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820,583.00 </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820,583.00 </w:t>
            </w:r>
          </w:p>
        </w:tc>
        <w:tc>
          <w:tcPr>
            <w:tcW w:w="51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八、对企业补助</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76</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5" w:type="pct"/>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5"/>
                <w:szCs w:val="15"/>
                <w:u w:val="none"/>
              </w:rPr>
            </w:pP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57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二十、粮油物资储备支出</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51</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51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九、对社会保障基金补助</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77</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5" w:type="pct"/>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5"/>
                <w:szCs w:val="15"/>
                <w:u w:val="none"/>
              </w:rPr>
            </w:pP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21</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57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二十一、国有资本经营预算支出</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52</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51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十、其他支出</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78</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5" w:type="pct"/>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5"/>
                <w:szCs w:val="15"/>
                <w:u w:val="none"/>
              </w:rPr>
            </w:pP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22</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57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二十二、灾害防治及应急管理支出</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53</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100,000.00 </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512" w:type="pct"/>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5"/>
                <w:szCs w:val="15"/>
                <w:u w:val="none"/>
              </w:rPr>
            </w:pP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79</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5" w:type="pct"/>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5"/>
                <w:szCs w:val="15"/>
                <w:u w:val="none"/>
              </w:rPr>
            </w:pP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23</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57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二十三、其他支出</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54</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353,067.67 </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150,000.00 </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150,000.00 </w:t>
            </w:r>
          </w:p>
        </w:tc>
        <w:tc>
          <w:tcPr>
            <w:tcW w:w="512" w:type="pct"/>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5"/>
                <w:szCs w:val="15"/>
                <w:u w:val="none"/>
              </w:rPr>
            </w:pP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80</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5" w:type="pct"/>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5"/>
                <w:szCs w:val="15"/>
                <w:u w:val="none"/>
              </w:rPr>
            </w:pP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24</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57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二十四、债务还本支出</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55</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512" w:type="pct"/>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5"/>
                <w:szCs w:val="15"/>
                <w:u w:val="none"/>
              </w:rPr>
            </w:pP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81</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5" w:type="pct"/>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5"/>
                <w:szCs w:val="15"/>
                <w:u w:val="none"/>
              </w:rPr>
            </w:pP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25</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57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二十五、债务付息支出</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56</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512" w:type="pct"/>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5"/>
                <w:szCs w:val="15"/>
                <w:u w:val="none"/>
              </w:rPr>
            </w:pP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82</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5" w:type="pct"/>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5"/>
                <w:szCs w:val="15"/>
                <w:u w:val="none"/>
              </w:rPr>
            </w:pP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26</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57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二十六、抗疫特别国债安排的支出</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57</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512" w:type="pct"/>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5"/>
                <w:szCs w:val="15"/>
                <w:u w:val="none"/>
              </w:rPr>
            </w:pP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83</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0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本年收入合计</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27</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26,909,765.04 </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43,049,879.05 </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37,004,963.04 </w:t>
            </w:r>
          </w:p>
        </w:tc>
        <w:tc>
          <w:tcPr>
            <w:tcW w:w="2189" w:type="pct"/>
            <w:gridSpan w:val="6"/>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本年支出合计</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84</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29,466,598.40 </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43,049,879.05 </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37,004,963.04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使用非财政拨款结余（含专用结余）</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28</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2189" w:type="pct"/>
            <w:gridSpan w:val="6"/>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    结余分配</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85</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年初结转和结余</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29</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2,556,833.36 </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2189" w:type="pct"/>
            <w:gridSpan w:val="6"/>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    年末结转和结余</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86</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5" w:type="pct"/>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5"/>
                <w:szCs w:val="15"/>
                <w:u w:val="none"/>
              </w:rPr>
            </w:pP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30</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2189" w:type="pct"/>
            <w:gridSpan w:val="6"/>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5"/>
                <w:szCs w:val="15"/>
                <w:u w:val="none"/>
              </w:rPr>
            </w:pP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87</w:t>
            </w: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c>
          <w:tcPr>
            <w:tcW w:w="310"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5"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总计</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31</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29,466,598.40 </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43,049,879.05 </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37,004,963.04 </w:t>
            </w:r>
          </w:p>
        </w:tc>
        <w:tc>
          <w:tcPr>
            <w:tcW w:w="2189" w:type="pct"/>
            <w:gridSpan w:val="6"/>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总计</w:t>
            </w:r>
          </w:p>
        </w:tc>
        <w:tc>
          <w:tcPr>
            <w:tcW w:w="17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88</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29,466,598.40 </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43,049,879.05 </w:t>
            </w:r>
          </w:p>
        </w:tc>
        <w:tc>
          <w:tcPr>
            <w:tcW w:w="310"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 xml:space="preserve">37,004,963.04 </w:t>
            </w:r>
          </w:p>
        </w:tc>
      </w:tr>
    </w:tbl>
    <w:p>
      <w:pPr>
        <w:pStyle w:val="5"/>
        <w:keepNext w:val="0"/>
        <w:keepLines w:val="0"/>
        <w:widowControl/>
        <w:spacing w:before="319" w:after="319" w:line="240" w:lineRule="auto"/>
        <w:jc w:val="left"/>
        <w:rPr>
          <w:rFonts w:ascii="Times New Roman" w:hAnsi="Times New Roman" w:eastAsia="Times New Roman" w:cs="Times New Roman"/>
          <w:b/>
          <w:bCs/>
          <w:kern w:val="0"/>
          <w:sz w:val="24"/>
        </w:rPr>
      </w:pPr>
      <w:r>
        <w:rPr>
          <w:rFonts w:ascii="Times New Roman" w:hAnsi="Times New Roman" w:eastAsia="Times New Roman" w:cs="Times New Roman"/>
          <w:kern w:val="0"/>
          <w:sz w:val="24"/>
          <w:szCs w:val="24"/>
        </w:rPr>
        <w:t>           </w:t>
      </w:r>
      <w:r>
        <w:rPr>
          <w:rFonts w:ascii="黑体" w:hAnsi="黑体" w:eastAsia="黑体" w:cs="黑体"/>
          <w:kern w:val="0"/>
          <w:sz w:val="27"/>
          <w:szCs w:val="27"/>
        </w:rPr>
        <w:t>2．收入支出结构分析。</w:t>
      </w:r>
    </w:p>
    <w:p>
      <w:pPr>
        <w:widowControl/>
        <w:spacing w:before="240" w:after="240"/>
        <w:jc w:val="left"/>
        <w:rPr>
          <w:rFonts w:ascii="仿宋_GB2312" w:hAnsi="仿宋_GB2312" w:eastAsia="仿宋_GB2312" w:cs="仿宋_GB2312"/>
          <w:b w:val="0"/>
          <w:bCs w:val="0"/>
          <w:kern w:val="0"/>
          <w:sz w:val="27"/>
          <w:szCs w:val="27"/>
        </w:rPr>
      </w:pPr>
      <w:r>
        <w:rPr>
          <w:rFonts w:ascii="仿宋_GB2312" w:hAnsi="仿宋_GB2312" w:eastAsia="仿宋_GB2312" w:cs="仿宋_GB2312"/>
          <w:b w:val="0"/>
          <w:bCs w:val="0"/>
          <w:kern w:val="0"/>
          <w:sz w:val="27"/>
          <w:szCs w:val="27"/>
        </w:rPr>
        <w:t>     （1）各项收入占总收入的比重，各项支出占总支出的比重（可分别制作饼状图）。</w:t>
      </w:r>
    </w:p>
    <w:tbl>
      <w:tblPr>
        <w:tblStyle w:val="29"/>
        <w:tblW w:w="5000" w:type="pct"/>
        <w:tblCellSpacing w:w="15" w:type="dxa"/>
        <w:tblInd w:w="0" w:type="dxa"/>
        <w:tblLayout w:type="autofit"/>
        <w:tblCellMar>
          <w:top w:w="15" w:type="dxa"/>
          <w:left w:w="15" w:type="dxa"/>
          <w:bottom w:w="15" w:type="dxa"/>
          <w:right w:w="15" w:type="dxa"/>
        </w:tblCellMar>
      </w:tblPr>
      <w:tblGrid>
        <w:gridCol w:w="2741"/>
        <w:gridCol w:w="2442"/>
        <w:gridCol w:w="1896"/>
        <w:gridCol w:w="18"/>
        <w:gridCol w:w="2733"/>
      </w:tblGrid>
      <w:tr>
        <w:tblPrEx>
          <w:tblCellMar>
            <w:top w:w="15" w:type="dxa"/>
            <w:left w:w="15" w:type="dxa"/>
            <w:bottom w:w="15" w:type="dxa"/>
            <w:right w:w="15" w:type="dxa"/>
          </w:tblCellMar>
        </w:tblPrEx>
        <w:trPr>
          <w:tblHeader/>
          <w:tblCellSpacing w:w="15" w:type="dxa"/>
        </w:trPr>
        <w:tc>
          <w:tcPr>
            <w:tcW w:w="4969" w:type="pct"/>
            <w:gridSpan w:val="5"/>
            <w:noWrap w:val="0"/>
            <w:tcMar>
              <w:top w:w="15" w:type="dxa"/>
              <w:left w:w="15" w:type="dxa"/>
              <w:bottom w:w="15" w:type="dxa"/>
              <w:right w:w="15" w:type="dxa"/>
            </w:tcMar>
            <w:vAlign w:val="center"/>
          </w:tcPr>
          <w:p>
            <w:pPr>
              <w:widowControl/>
              <w:jc w:val="left"/>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bCs/>
                <w:i w:val="0"/>
                <w:iCs w:val="0"/>
                <w:smallCaps w:val="0"/>
                <w:color w:val="000000"/>
                <w:kern w:val="0"/>
                <w:sz w:val="24"/>
                <w:szCs w:val="24"/>
              </w:rPr>
              <w:t>各项收入占总收入的比重</w:t>
            </w:r>
          </w:p>
        </w:tc>
      </w:tr>
      <w:tr>
        <w:tblPrEx>
          <w:tblCellMar>
            <w:top w:w="15" w:type="dxa"/>
            <w:left w:w="15" w:type="dxa"/>
            <w:bottom w:w="15" w:type="dxa"/>
            <w:right w:w="15" w:type="dxa"/>
          </w:tblCellMar>
        </w:tblPrEx>
        <w:trPr>
          <w:tblHeader/>
          <w:tblCellSpacing w:w="15" w:type="dxa"/>
        </w:trPr>
        <w:tc>
          <w:tcPr>
            <w:tcW w:w="1384" w:type="pct"/>
            <w:noWrap w:val="0"/>
            <w:tcMar>
              <w:top w:w="15" w:type="dxa"/>
              <w:left w:w="15" w:type="dxa"/>
              <w:bottom w:w="15" w:type="dxa"/>
              <w:right w:w="15" w:type="dxa"/>
            </w:tcMar>
            <w:vAlign w:val="center"/>
          </w:tcPr>
          <w:p>
            <w:pPr>
              <w:widowControl/>
              <w:jc w:val="left"/>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 w:val="24"/>
                <w:szCs w:val="24"/>
              </w:rPr>
              <w:t>收入名称</w:t>
            </w:r>
          </w:p>
        </w:tc>
        <w:tc>
          <w:tcPr>
            <w:tcW w:w="1238" w:type="pct"/>
            <w:noWrap w:val="0"/>
            <w:tcMar>
              <w:top w:w="15" w:type="dxa"/>
              <w:left w:w="15" w:type="dxa"/>
              <w:bottom w:w="15" w:type="dxa"/>
              <w:right w:w="15" w:type="dxa"/>
            </w:tcMar>
            <w:vAlign w:val="center"/>
          </w:tcPr>
          <w:p>
            <w:pPr>
              <w:widowControl/>
              <w:jc w:val="left"/>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 w:val="24"/>
                <w:szCs w:val="24"/>
              </w:rPr>
              <w:t>金额（元）</w:t>
            </w:r>
          </w:p>
        </w:tc>
        <w:tc>
          <w:tcPr>
            <w:tcW w:w="967" w:type="pct"/>
            <w:gridSpan w:val="2"/>
            <w:noWrap w:val="0"/>
            <w:tcMar>
              <w:top w:w="15" w:type="dxa"/>
              <w:left w:w="15" w:type="dxa"/>
              <w:bottom w:w="15" w:type="dxa"/>
              <w:right w:w="15" w:type="dxa"/>
            </w:tcMar>
            <w:vAlign w:val="center"/>
          </w:tcPr>
          <w:p>
            <w:pPr>
              <w:widowControl/>
              <w:jc w:val="left"/>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 w:val="24"/>
                <w:szCs w:val="24"/>
              </w:rPr>
              <w:t>总收入（元）</w:t>
            </w:r>
          </w:p>
        </w:tc>
        <w:tc>
          <w:tcPr>
            <w:tcW w:w="1333" w:type="pct"/>
            <w:noWrap w:val="0"/>
            <w:tcMar>
              <w:top w:w="15" w:type="dxa"/>
              <w:left w:w="15" w:type="dxa"/>
              <w:bottom w:w="15" w:type="dxa"/>
              <w:right w:w="15" w:type="dxa"/>
            </w:tcMar>
            <w:vAlign w:val="center"/>
          </w:tcPr>
          <w:p>
            <w:pPr>
              <w:widowControl/>
              <w:jc w:val="left"/>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 w:val="24"/>
                <w:szCs w:val="24"/>
              </w:rPr>
              <w:t>占总收入比重</w:t>
            </w:r>
          </w:p>
        </w:tc>
      </w:tr>
      <w:tr>
        <w:tblPrEx>
          <w:tblCellMar>
            <w:top w:w="15" w:type="dxa"/>
            <w:left w:w="15" w:type="dxa"/>
            <w:bottom w:w="15" w:type="dxa"/>
            <w:right w:w="15" w:type="dxa"/>
          </w:tblCellMar>
        </w:tblPrEx>
        <w:trPr>
          <w:tblHeader/>
          <w:tblCellSpacing w:w="15" w:type="dxa"/>
        </w:trPr>
        <w:tc>
          <w:tcPr>
            <w:tcW w:w="1384" w:type="pct"/>
            <w:noWrap w:val="0"/>
            <w:tcMar>
              <w:top w:w="15" w:type="dxa"/>
              <w:left w:w="15" w:type="dxa"/>
              <w:bottom w:w="15" w:type="dxa"/>
              <w:right w:w="15" w:type="dxa"/>
            </w:tcMar>
            <w:vAlign w:val="center"/>
          </w:tcPr>
          <w:p>
            <w:pPr>
              <w:widowControl/>
              <w:jc w:val="left"/>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 w:val="24"/>
                <w:szCs w:val="24"/>
              </w:rPr>
              <w:t>财政拨款收入</w:t>
            </w:r>
          </w:p>
        </w:tc>
        <w:tc>
          <w:tcPr>
            <w:tcW w:w="1238" w:type="pct"/>
            <w:noWrap w:val="0"/>
            <w:tcMar>
              <w:top w:w="15" w:type="dxa"/>
              <w:left w:w="15" w:type="dxa"/>
              <w:bottom w:w="15" w:type="dxa"/>
              <w:right w:w="15" w:type="dxa"/>
            </w:tcMar>
            <w:vAlign w:val="center"/>
          </w:tcPr>
          <w:p>
            <w:pPr>
              <w:widowControl/>
              <w:jc w:val="left"/>
              <w:rPr>
                <w:rFonts w:hint="default" w:ascii="Times New Roman" w:hAnsi="Times New Roman" w:eastAsia="宋体" w:cs="Times New Roman"/>
                <w:b w:val="0"/>
                <w:bCs w:val="0"/>
                <w:i w:val="0"/>
                <w:iCs w:val="0"/>
                <w:smallCaps w:val="0"/>
                <w:color w:val="000000"/>
                <w:kern w:val="0"/>
                <w:sz w:val="24"/>
                <w:szCs w:val="24"/>
                <w:lang w:val="en-US" w:eastAsia="zh-CN"/>
              </w:rPr>
            </w:pPr>
            <w:r>
              <w:rPr>
                <w:rFonts w:hint="eastAsia" w:cs="Times New Roman"/>
                <w:b w:val="0"/>
                <w:bCs w:val="0"/>
                <w:i w:val="0"/>
                <w:iCs w:val="0"/>
                <w:smallCaps w:val="0"/>
                <w:color w:val="000000"/>
                <w:kern w:val="0"/>
                <w:sz w:val="24"/>
                <w:szCs w:val="24"/>
                <w:lang w:val="en-US" w:eastAsia="zh-CN"/>
              </w:rPr>
              <w:t>36854963.04</w:t>
            </w:r>
          </w:p>
        </w:tc>
        <w:tc>
          <w:tcPr>
            <w:tcW w:w="967" w:type="pct"/>
            <w:gridSpan w:val="2"/>
            <w:noWrap w:val="0"/>
            <w:tcMar>
              <w:top w:w="15" w:type="dxa"/>
              <w:left w:w="15" w:type="dxa"/>
              <w:bottom w:w="15" w:type="dxa"/>
              <w:right w:w="15" w:type="dxa"/>
            </w:tcMar>
            <w:vAlign w:val="center"/>
          </w:tcPr>
          <w:p>
            <w:pPr>
              <w:widowControl/>
              <w:jc w:val="left"/>
              <w:rPr>
                <w:rFonts w:ascii="Times New Roman" w:hAnsi="Times New Roman" w:eastAsia="Times New Roman" w:cs="Times New Roman"/>
                <w:b w:val="0"/>
                <w:bCs w:val="0"/>
                <w:i w:val="0"/>
                <w:iCs w:val="0"/>
                <w:smallCaps w:val="0"/>
                <w:color w:val="000000"/>
                <w:kern w:val="0"/>
                <w:sz w:val="24"/>
                <w:szCs w:val="24"/>
              </w:rPr>
            </w:pPr>
            <w:r>
              <w:rPr>
                <w:rFonts w:hint="eastAsia" w:cs="Times New Roman"/>
                <w:b w:val="0"/>
                <w:bCs w:val="0"/>
                <w:i w:val="0"/>
                <w:iCs w:val="0"/>
                <w:smallCaps w:val="0"/>
                <w:color w:val="000000"/>
                <w:kern w:val="0"/>
                <w:sz w:val="24"/>
                <w:szCs w:val="24"/>
                <w:lang w:val="en-US" w:eastAsia="zh-CN"/>
              </w:rPr>
              <w:t>36854963.04</w:t>
            </w:r>
          </w:p>
        </w:tc>
        <w:tc>
          <w:tcPr>
            <w:tcW w:w="1333" w:type="pct"/>
            <w:noWrap w:val="0"/>
            <w:tcMar>
              <w:top w:w="15" w:type="dxa"/>
              <w:left w:w="15" w:type="dxa"/>
              <w:bottom w:w="15" w:type="dxa"/>
              <w:right w:w="15" w:type="dxa"/>
            </w:tcMar>
            <w:vAlign w:val="center"/>
          </w:tcPr>
          <w:p>
            <w:pPr>
              <w:widowControl/>
              <w:jc w:val="left"/>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 w:val="24"/>
                <w:szCs w:val="24"/>
              </w:rPr>
              <w:t>100%</w:t>
            </w:r>
          </w:p>
        </w:tc>
      </w:tr>
      <w:tr>
        <w:tblPrEx>
          <w:tblCellMar>
            <w:top w:w="15" w:type="dxa"/>
            <w:left w:w="15" w:type="dxa"/>
            <w:bottom w:w="15" w:type="dxa"/>
            <w:right w:w="15" w:type="dxa"/>
          </w:tblCellMar>
        </w:tblPrEx>
        <w:trPr>
          <w:tblHeader/>
          <w:tblCellSpacing w:w="15" w:type="dxa"/>
        </w:trPr>
        <w:tc>
          <w:tcPr>
            <w:tcW w:w="4969" w:type="pct"/>
            <w:gridSpan w:val="5"/>
            <w:noWrap w:val="0"/>
            <w:tcMar>
              <w:top w:w="15" w:type="dxa"/>
              <w:left w:w="15" w:type="dxa"/>
              <w:bottom w:w="15" w:type="dxa"/>
              <w:right w:w="15" w:type="dxa"/>
            </w:tcMar>
            <w:vAlign w:val="center"/>
          </w:tcPr>
          <w:p>
            <w:pPr>
              <w:widowControl/>
              <w:jc w:val="left"/>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bCs/>
                <w:i w:val="0"/>
                <w:iCs w:val="0"/>
                <w:smallCaps w:val="0"/>
                <w:color w:val="000000"/>
                <w:kern w:val="0"/>
                <w:sz w:val="24"/>
                <w:szCs w:val="24"/>
              </w:rPr>
              <w:t>各项支出占总支出的比重</w:t>
            </w:r>
          </w:p>
        </w:tc>
      </w:tr>
      <w:tr>
        <w:tblPrEx>
          <w:tblCellMar>
            <w:top w:w="15" w:type="dxa"/>
            <w:left w:w="15" w:type="dxa"/>
            <w:bottom w:w="15" w:type="dxa"/>
            <w:right w:w="15" w:type="dxa"/>
          </w:tblCellMar>
        </w:tblPrEx>
        <w:trPr>
          <w:tblHeader/>
          <w:tblCellSpacing w:w="15" w:type="dxa"/>
        </w:trPr>
        <w:tc>
          <w:tcPr>
            <w:tcW w:w="1384" w:type="pct"/>
            <w:noWrap w:val="0"/>
            <w:tcMar>
              <w:top w:w="15" w:type="dxa"/>
              <w:left w:w="15" w:type="dxa"/>
              <w:bottom w:w="15" w:type="dxa"/>
              <w:right w:w="15" w:type="dxa"/>
            </w:tcMar>
            <w:vAlign w:val="center"/>
          </w:tcPr>
          <w:p>
            <w:pPr>
              <w:widowControl/>
              <w:jc w:val="left"/>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 w:val="24"/>
                <w:szCs w:val="24"/>
              </w:rPr>
              <w:t>支出名称</w:t>
            </w:r>
          </w:p>
        </w:tc>
        <w:tc>
          <w:tcPr>
            <w:tcW w:w="1238" w:type="pct"/>
            <w:noWrap w:val="0"/>
            <w:tcMar>
              <w:top w:w="15" w:type="dxa"/>
              <w:left w:w="15" w:type="dxa"/>
              <w:bottom w:w="15" w:type="dxa"/>
              <w:right w:w="15" w:type="dxa"/>
            </w:tcMar>
            <w:vAlign w:val="center"/>
          </w:tcPr>
          <w:p>
            <w:pPr>
              <w:widowControl/>
              <w:jc w:val="left"/>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 w:val="24"/>
                <w:szCs w:val="24"/>
              </w:rPr>
              <w:t>金额（元）</w:t>
            </w:r>
          </w:p>
        </w:tc>
        <w:tc>
          <w:tcPr>
            <w:tcW w:w="958" w:type="pct"/>
            <w:noWrap w:val="0"/>
            <w:tcMar>
              <w:top w:w="15" w:type="dxa"/>
              <w:left w:w="15" w:type="dxa"/>
              <w:bottom w:w="15" w:type="dxa"/>
              <w:right w:w="15" w:type="dxa"/>
            </w:tcMar>
            <w:vAlign w:val="center"/>
          </w:tcPr>
          <w:p>
            <w:pPr>
              <w:widowControl/>
              <w:jc w:val="left"/>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 w:val="24"/>
                <w:szCs w:val="24"/>
              </w:rPr>
              <w:t>总支出（元）</w:t>
            </w:r>
          </w:p>
        </w:tc>
        <w:tc>
          <w:tcPr>
            <w:tcW w:w="1342" w:type="pct"/>
            <w:gridSpan w:val="2"/>
            <w:noWrap w:val="0"/>
            <w:tcMar>
              <w:top w:w="15" w:type="dxa"/>
              <w:left w:w="15" w:type="dxa"/>
              <w:bottom w:w="15" w:type="dxa"/>
              <w:right w:w="15" w:type="dxa"/>
            </w:tcMar>
            <w:vAlign w:val="center"/>
          </w:tcPr>
          <w:p>
            <w:pPr>
              <w:widowControl/>
              <w:jc w:val="left"/>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 w:val="24"/>
                <w:szCs w:val="24"/>
              </w:rPr>
              <w:t>占总收入比重</w:t>
            </w:r>
          </w:p>
        </w:tc>
      </w:tr>
      <w:tr>
        <w:tblPrEx>
          <w:tblCellMar>
            <w:top w:w="15" w:type="dxa"/>
            <w:left w:w="15" w:type="dxa"/>
            <w:bottom w:w="15" w:type="dxa"/>
            <w:right w:w="15" w:type="dxa"/>
          </w:tblCellMar>
        </w:tblPrEx>
        <w:trPr>
          <w:tblHeader/>
          <w:tblCellSpacing w:w="15" w:type="dxa"/>
        </w:trPr>
        <w:tc>
          <w:tcPr>
            <w:tcW w:w="1384" w:type="pct"/>
            <w:noWrap w:val="0"/>
            <w:tcMar>
              <w:top w:w="15" w:type="dxa"/>
              <w:left w:w="15" w:type="dxa"/>
              <w:bottom w:w="15" w:type="dxa"/>
              <w:right w:w="15" w:type="dxa"/>
            </w:tcMar>
            <w:vAlign w:val="center"/>
          </w:tcPr>
          <w:p>
            <w:pPr>
              <w:widowControl/>
              <w:jc w:val="left"/>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 w:val="24"/>
                <w:szCs w:val="24"/>
              </w:rPr>
              <w:t>基本支出</w:t>
            </w:r>
          </w:p>
        </w:tc>
        <w:tc>
          <w:tcPr>
            <w:tcW w:w="1238" w:type="pct"/>
            <w:noWrap w:val="0"/>
            <w:tcMar>
              <w:top w:w="15" w:type="dxa"/>
              <w:left w:w="15" w:type="dxa"/>
              <w:bottom w:w="15" w:type="dxa"/>
              <w:right w:w="15" w:type="dxa"/>
            </w:tcMar>
            <w:vAlign w:val="center"/>
          </w:tcPr>
          <w:p>
            <w:pPr>
              <w:widowControl/>
              <w:jc w:val="left"/>
              <w:rPr>
                <w:rFonts w:hint="default" w:ascii="Times New Roman" w:hAnsi="Times New Roman" w:eastAsia="宋体" w:cs="Times New Roman"/>
                <w:b w:val="0"/>
                <w:bCs w:val="0"/>
                <w:i w:val="0"/>
                <w:iCs w:val="0"/>
                <w:smallCaps w:val="0"/>
                <w:color w:val="000000"/>
                <w:kern w:val="0"/>
                <w:sz w:val="24"/>
                <w:szCs w:val="24"/>
                <w:lang w:val="en-US" w:eastAsia="zh-CN"/>
              </w:rPr>
            </w:pPr>
            <w:r>
              <w:rPr>
                <w:rFonts w:hint="eastAsia" w:cs="Times New Roman"/>
                <w:b w:val="0"/>
                <w:bCs w:val="0"/>
                <w:i w:val="0"/>
                <w:iCs w:val="0"/>
                <w:smallCaps w:val="0"/>
                <w:color w:val="000000"/>
                <w:kern w:val="0"/>
                <w:sz w:val="24"/>
                <w:szCs w:val="24"/>
                <w:lang w:val="en-US" w:eastAsia="zh-CN"/>
              </w:rPr>
              <w:t>18409940.82</w:t>
            </w:r>
          </w:p>
        </w:tc>
        <w:tc>
          <w:tcPr>
            <w:tcW w:w="958" w:type="pct"/>
            <w:noWrap w:val="0"/>
            <w:tcMar>
              <w:top w:w="15" w:type="dxa"/>
              <w:left w:w="15" w:type="dxa"/>
              <w:bottom w:w="15" w:type="dxa"/>
              <w:right w:w="15" w:type="dxa"/>
            </w:tcMar>
            <w:vAlign w:val="center"/>
          </w:tcPr>
          <w:p>
            <w:pPr>
              <w:widowControl/>
              <w:jc w:val="left"/>
              <w:rPr>
                <w:rFonts w:hint="default" w:ascii="Times New Roman" w:hAnsi="Times New Roman" w:eastAsia="宋体" w:cs="Times New Roman"/>
                <w:b w:val="0"/>
                <w:bCs w:val="0"/>
                <w:i w:val="0"/>
                <w:iCs w:val="0"/>
                <w:smallCaps w:val="0"/>
                <w:color w:val="000000"/>
                <w:kern w:val="0"/>
                <w:sz w:val="24"/>
                <w:szCs w:val="24"/>
                <w:lang w:val="en-US" w:eastAsia="zh-CN"/>
              </w:rPr>
            </w:pPr>
            <w:r>
              <w:rPr>
                <w:rFonts w:hint="eastAsia" w:cs="Times New Roman"/>
                <w:b w:val="0"/>
                <w:bCs w:val="0"/>
                <w:i w:val="0"/>
                <w:iCs w:val="0"/>
                <w:smallCaps w:val="0"/>
                <w:color w:val="000000"/>
                <w:kern w:val="0"/>
                <w:sz w:val="24"/>
                <w:szCs w:val="24"/>
                <w:lang w:val="en-US" w:eastAsia="zh-CN"/>
              </w:rPr>
              <w:t>36854963.04</w:t>
            </w:r>
          </w:p>
        </w:tc>
        <w:tc>
          <w:tcPr>
            <w:tcW w:w="1342" w:type="pct"/>
            <w:gridSpan w:val="2"/>
            <w:noWrap w:val="0"/>
            <w:tcMar>
              <w:top w:w="15" w:type="dxa"/>
              <w:left w:w="15" w:type="dxa"/>
              <w:bottom w:w="15" w:type="dxa"/>
              <w:right w:w="15" w:type="dxa"/>
            </w:tcMar>
            <w:vAlign w:val="center"/>
          </w:tcPr>
          <w:p>
            <w:pPr>
              <w:widowControl/>
              <w:jc w:val="left"/>
              <w:rPr>
                <w:rFonts w:ascii="Times New Roman" w:hAnsi="Times New Roman" w:eastAsia="Times New Roman" w:cs="Times New Roman"/>
                <w:b w:val="0"/>
                <w:bCs w:val="0"/>
                <w:i w:val="0"/>
                <w:iCs w:val="0"/>
                <w:smallCaps w:val="0"/>
                <w:color w:val="000000"/>
                <w:kern w:val="0"/>
                <w:sz w:val="24"/>
                <w:szCs w:val="24"/>
              </w:rPr>
            </w:pPr>
            <w:r>
              <w:rPr>
                <w:rFonts w:hint="eastAsia" w:cs="Times New Roman"/>
                <w:b w:val="0"/>
                <w:bCs w:val="0"/>
                <w:i w:val="0"/>
                <w:iCs w:val="0"/>
                <w:smallCaps w:val="0"/>
                <w:color w:val="000000"/>
                <w:kern w:val="0"/>
                <w:sz w:val="24"/>
                <w:szCs w:val="24"/>
                <w:lang w:val="en-US" w:eastAsia="zh-CN"/>
              </w:rPr>
              <w:t>49.95</w:t>
            </w:r>
            <w:r>
              <w:rPr>
                <w:rFonts w:ascii="Times New Roman" w:hAnsi="Times New Roman" w:eastAsia="Times New Roman" w:cs="Times New Roman"/>
                <w:b w:val="0"/>
                <w:bCs w:val="0"/>
                <w:i w:val="0"/>
                <w:iCs w:val="0"/>
                <w:smallCaps w:val="0"/>
                <w:color w:val="000000"/>
                <w:kern w:val="0"/>
                <w:sz w:val="24"/>
                <w:szCs w:val="24"/>
              </w:rPr>
              <w:t>%</w:t>
            </w:r>
          </w:p>
        </w:tc>
      </w:tr>
      <w:tr>
        <w:tblPrEx>
          <w:tblCellMar>
            <w:top w:w="15" w:type="dxa"/>
            <w:left w:w="15" w:type="dxa"/>
            <w:bottom w:w="15" w:type="dxa"/>
            <w:right w:w="15" w:type="dxa"/>
          </w:tblCellMar>
        </w:tblPrEx>
        <w:trPr>
          <w:tblHeader/>
          <w:tblCellSpacing w:w="15" w:type="dxa"/>
        </w:trPr>
        <w:tc>
          <w:tcPr>
            <w:tcW w:w="1384" w:type="pct"/>
            <w:noWrap w:val="0"/>
            <w:tcMar>
              <w:top w:w="15" w:type="dxa"/>
              <w:left w:w="15" w:type="dxa"/>
              <w:bottom w:w="15" w:type="dxa"/>
              <w:right w:w="15" w:type="dxa"/>
            </w:tcMar>
            <w:vAlign w:val="center"/>
          </w:tcPr>
          <w:p>
            <w:pPr>
              <w:widowControl/>
              <w:jc w:val="left"/>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 w:val="24"/>
                <w:szCs w:val="24"/>
              </w:rPr>
              <w:t>项目支出</w:t>
            </w:r>
          </w:p>
        </w:tc>
        <w:tc>
          <w:tcPr>
            <w:tcW w:w="1238" w:type="pct"/>
            <w:noWrap w:val="0"/>
            <w:tcMar>
              <w:top w:w="15" w:type="dxa"/>
              <w:left w:w="15" w:type="dxa"/>
              <w:bottom w:w="15" w:type="dxa"/>
              <w:right w:w="15" w:type="dxa"/>
            </w:tcMar>
            <w:vAlign w:val="center"/>
          </w:tcPr>
          <w:p>
            <w:pPr>
              <w:widowControl/>
              <w:jc w:val="left"/>
              <w:rPr>
                <w:rFonts w:hint="default" w:ascii="Times New Roman" w:hAnsi="Times New Roman" w:eastAsia="宋体" w:cs="Times New Roman"/>
                <w:b w:val="0"/>
                <w:bCs w:val="0"/>
                <w:i w:val="0"/>
                <w:iCs w:val="0"/>
                <w:smallCaps w:val="0"/>
                <w:color w:val="000000"/>
                <w:kern w:val="0"/>
                <w:sz w:val="24"/>
                <w:szCs w:val="24"/>
                <w:lang w:val="en-US" w:eastAsia="zh-CN"/>
              </w:rPr>
            </w:pPr>
            <w:r>
              <w:rPr>
                <w:rFonts w:hint="eastAsia" w:cs="Times New Roman"/>
                <w:b w:val="0"/>
                <w:bCs w:val="0"/>
                <w:i w:val="0"/>
                <w:iCs w:val="0"/>
                <w:smallCaps w:val="0"/>
                <w:color w:val="000000"/>
                <w:kern w:val="0"/>
                <w:sz w:val="24"/>
                <w:szCs w:val="24"/>
                <w:lang w:val="en-US" w:eastAsia="zh-CN"/>
              </w:rPr>
              <w:t>18595022.22</w:t>
            </w:r>
          </w:p>
        </w:tc>
        <w:tc>
          <w:tcPr>
            <w:tcW w:w="958" w:type="pct"/>
            <w:noWrap w:val="0"/>
            <w:tcMar>
              <w:top w:w="15" w:type="dxa"/>
              <w:left w:w="15" w:type="dxa"/>
              <w:bottom w:w="15" w:type="dxa"/>
              <w:right w:w="15" w:type="dxa"/>
            </w:tcMar>
            <w:vAlign w:val="center"/>
          </w:tcPr>
          <w:p>
            <w:pPr>
              <w:widowControl/>
              <w:jc w:val="left"/>
              <w:rPr>
                <w:rFonts w:ascii="Times New Roman" w:hAnsi="Times New Roman" w:eastAsia="Times New Roman" w:cs="Times New Roman"/>
                <w:b w:val="0"/>
                <w:bCs w:val="0"/>
                <w:i w:val="0"/>
                <w:iCs w:val="0"/>
                <w:smallCaps w:val="0"/>
                <w:color w:val="000000"/>
                <w:kern w:val="0"/>
                <w:sz w:val="24"/>
                <w:szCs w:val="24"/>
              </w:rPr>
            </w:pPr>
            <w:r>
              <w:rPr>
                <w:rFonts w:hint="eastAsia" w:cs="Times New Roman"/>
                <w:b w:val="0"/>
                <w:bCs w:val="0"/>
                <w:i w:val="0"/>
                <w:iCs w:val="0"/>
                <w:smallCaps w:val="0"/>
                <w:color w:val="000000"/>
                <w:kern w:val="0"/>
                <w:sz w:val="24"/>
                <w:szCs w:val="24"/>
                <w:lang w:val="en-US" w:eastAsia="zh-CN"/>
              </w:rPr>
              <w:t>36854963.04</w:t>
            </w:r>
          </w:p>
        </w:tc>
        <w:tc>
          <w:tcPr>
            <w:tcW w:w="1342" w:type="pct"/>
            <w:gridSpan w:val="2"/>
            <w:noWrap w:val="0"/>
            <w:tcMar>
              <w:top w:w="15" w:type="dxa"/>
              <w:left w:w="15" w:type="dxa"/>
              <w:bottom w:w="15" w:type="dxa"/>
              <w:right w:w="15" w:type="dxa"/>
            </w:tcMar>
            <w:vAlign w:val="center"/>
          </w:tcPr>
          <w:p>
            <w:pPr>
              <w:widowControl/>
              <w:jc w:val="left"/>
              <w:rPr>
                <w:rFonts w:hint="default" w:ascii="Times New Roman" w:hAnsi="Times New Roman" w:eastAsia="宋体" w:cs="Times New Roman"/>
                <w:b w:val="0"/>
                <w:bCs w:val="0"/>
                <w:i w:val="0"/>
                <w:iCs w:val="0"/>
                <w:smallCaps w:val="0"/>
                <w:color w:val="000000"/>
                <w:kern w:val="0"/>
                <w:sz w:val="24"/>
                <w:szCs w:val="24"/>
                <w:lang w:val="en-US" w:eastAsia="zh-CN"/>
              </w:rPr>
            </w:pPr>
            <w:r>
              <w:rPr>
                <w:rFonts w:hint="eastAsia" w:cs="Times New Roman"/>
                <w:b w:val="0"/>
                <w:bCs w:val="0"/>
                <w:i w:val="0"/>
                <w:iCs w:val="0"/>
                <w:smallCaps w:val="0"/>
                <w:color w:val="000000"/>
                <w:kern w:val="0"/>
                <w:sz w:val="24"/>
                <w:szCs w:val="24"/>
                <w:lang w:val="en-US" w:eastAsia="zh-CN"/>
              </w:rPr>
              <w:t>50.05%</w:t>
            </w:r>
          </w:p>
        </w:tc>
      </w:tr>
    </w:tbl>
    <w:p>
      <w:pPr>
        <w:widowControl/>
        <w:spacing w:before="240" w:after="240"/>
        <w:jc w:val="left"/>
        <w:rPr>
          <w:rFonts w:ascii="Times New Roman" w:hAnsi="Times New Roman" w:eastAsia="Times New Roman" w:cs="Times New Roman"/>
          <w:kern w:val="0"/>
          <w:sz w:val="24"/>
        </w:rPr>
      </w:pPr>
    </w:p>
    <w:p>
      <w:pPr>
        <w:widowControl/>
        <w:numPr>
          <w:ilvl w:val="0"/>
          <w:numId w:val="1"/>
        </w:numPr>
        <w:spacing w:before="240" w:after="240"/>
        <w:ind w:left="210" w:leftChars="0" w:firstLine="0" w:firstLineChars="0"/>
        <w:jc w:val="left"/>
        <w:rPr>
          <w:rFonts w:ascii="仿宋_GB2312" w:hAnsi="仿宋_GB2312" w:eastAsia="仿宋_GB2312" w:cs="仿宋_GB2312"/>
          <w:b w:val="0"/>
          <w:bCs w:val="0"/>
          <w:kern w:val="0"/>
          <w:sz w:val="27"/>
          <w:szCs w:val="27"/>
        </w:rPr>
      </w:pPr>
      <w:r>
        <w:rPr>
          <w:rFonts w:ascii="仿宋_GB2312" w:hAnsi="仿宋_GB2312" w:eastAsia="仿宋_GB2312" w:cs="仿宋_GB2312"/>
          <w:b w:val="0"/>
          <w:bCs w:val="0"/>
          <w:kern w:val="0"/>
          <w:sz w:val="27"/>
          <w:szCs w:val="27"/>
        </w:rPr>
        <w:t>收入支出与上年度对比情况及原因分析(可用柱形图或折线图)。</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253"/>
        <w:gridCol w:w="553"/>
        <w:gridCol w:w="1313"/>
        <w:gridCol w:w="1313"/>
        <w:gridCol w:w="1313"/>
        <w:gridCol w:w="891"/>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11" w:type="pct"/>
            <w:gridSpan w:val="2"/>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编制单位：奈曼旗东明镇人民政府</w:t>
            </w:r>
          </w:p>
        </w:tc>
        <w:tc>
          <w:tcPr>
            <w:tcW w:w="659" w:type="pct"/>
            <w:tcBorders>
              <w:top w:val="nil"/>
              <w:left w:val="nil"/>
              <w:bottom w:val="nil"/>
              <w:right w:val="nil"/>
            </w:tcBorders>
            <w:shd w:val="clear"/>
            <w:noWrap/>
            <w:vAlign w:val="bottom"/>
          </w:tcPr>
          <w:p>
            <w:pPr>
              <w:rPr>
                <w:rFonts w:hint="eastAsia" w:ascii="等线" w:hAnsi="等线" w:eastAsia="等线" w:cs="等线"/>
                <w:i w:val="0"/>
                <w:iCs w:val="0"/>
                <w:color w:val="000000"/>
                <w:sz w:val="22"/>
                <w:szCs w:val="22"/>
                <w:u w:val="none"/>
              </w:rPr>
            </w:pPr>
          </w:p>
        </w:tc>
        <w:tc>
          <w:tcPr>
            <w:tcW w:w="659" w:type="pct"/>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2024年度</w:t>
            </w:r>
          </w:p>
        </w:tc>
        <w:tc>
          <w:tcPr>
            <w:tcW w:w="659" w:type="pct"/>
            <w:tcBorders>
              <w:top w:val="nil"/>
              <w:left w:val="nil"/>
              <w:bottom w:val="nil"/>
              <w:right w:val="nil"/>
            </w:tcBorders>
            <w:shd w:val="clear"/>
            <w:noWrap/>
            <w:vAlign w:val="bottom"/>
          </w:tcPr>
          <w:p>
            <w:pPr>
              <w:rPr>
                <w:rFonts w:hint="default" w:ascii="等线" w:hAnsi="等线" w:eastAsia="等线" w:cs="等线"/>
                <w:i w:val="0"/>
                <w:iCs w:val="0"/>
                <w:color w:val="000000"/>
                <w:sz w:val="22"/>
                <w:szCs w:val="22"/>
                <w:u w:val="none"/>
              </w:rPr>
            </w:pPr>
          </w:p>
        </w:tc>
        <w:tc>
          <w:tcPr>
            <w:tcW w:w="447" w:type="pct"/>
            <w:tcBorders>
              <w:top w:val="nil"/>
              <w:left w:val="nil"/>
              <w:bottom w:val="nil"/>
              <w:right w:val="nil"/>
            </w:tcBorders>
            <w:shd w:val="clear"/>
            <w:noWrap/>
            <w:vAlign w:val="bottom"/>
          </w:tcPr>
          <w:p>
            <w:pPr>
              <w:rPr>
                <w:rFonts w:hint="default" w:ascii="等线" w:hAnsi="等线" w:eastAsia="等线" w:cs="等线"/>
                <w:i w:val="0"/>
                <w:iCs w:val="0"/>
                <w:color w:val="000000"/>
                <w:sz w:val="22"/>
                <w:szCs w:val="22"/>
                <w:u w:val="none"/>
              </w:rPr>
            </w:pPr>
          </w:p>
        </w:tc>
        <w:tc>
          <w:tcPr>
            <w:tcW w:w="662" w:type="pct"/>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    标</w:t>
            </w:r>
          </w:p>
        </w:tc>
        <w:tc>
          <w:tcPr>
            <w:tcW w:w="277" w:type="pct"/>
            <w:vMerge w:val="restart"/>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659" w:type="pct"/>
            <w:vMerge w:val="restart"/>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本年度</w:t>
            </w:r>
          </w:p>
        </w:tc>
        <w:tc>
          <w:tcPr>
            <w:tcW w:w="659" w:type="pct"/>
            <w:vMerge w:val="restart"/>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上年度</w:t>
            </w:r>
          </w:p>
        </w:tc>
        <w:tc>
          <w:tcPr>
            <w:tcW w:w="659" w:type="pct"/>
            <w:vMerge w:val="restart"/>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比上年增减</w:t>
            </w:r>
          </w:p>
        </w:tc>
        <w:tc>
          <w:tcPr>
            <w:tcW w:w="447" w:type="pct"/>
            <w:vMerge w:val="restart"/>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增减％</w:t>
            </w:r>
          </w:p>
        </w:tc>
        <w:tc>
          <w:tcPr>
            <w:tcW w:w="662" w:type="pct"/>
            <w:vMerge w:val="restart"/>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77"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59"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59"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59"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447"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62"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    次</w:t>
            </w:r>
          </w:p>
        </w:tc>
        <w:tc>
          <w:tcPr>
            <w:tcW w:w="277"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66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一、年度收支情况（单位：元）</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66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1.本年收入</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37,004,963.04 </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40,368,965.58 </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-3,364,002.54 </w:t>
            </w: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662" w:type="pct"/>
            <w:tcBorders>
              <w:top w:val="nil"/>
              <w:left w:val="nil"/>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其中：一般公共预算财政拨款</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36,854,963.04 </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40,332,089.58 </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-3,477,126.54 </w:t>
            </w: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662" w:type="pct"/>
            <w:tcBorders>
              <w:top w:val="nil"/>
              <w:left w:val="nil"/>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政府性基金预算财政拨款</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150,000.00 </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36,876.00 </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113,124.00 </w:t>
            </w: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307.00%</w:t>
            </w:r>
          </w:p>
        </w:tc>
        <w:tc>
          <w:tcPr>
            <w:tcW w:w="662" w:type="pct"/>
            <w:tcBorders>
              <w:top w:val="nil"/>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付返还福利彩票公积金大吉尔仁达朗村社区办公场所建设项目15万元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国有资本经营预算财政拨款</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662" w:type="pct"/>
            <w:tcBorders>
              <w:top w:val="nil"/>
              <w:left w:val="nil"/>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*事业收入</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662" w:type="pct"/>
            <w:tcBorders>
              <w:top w:val="nil"/>
              <w:left w:val="nil"/>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事业单位经营收入</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662" w:type="pct"/>
            <w:tcBorders>
              <w:top w:val="nil"/>
              <w:left w:val="nil"/>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*其他收入</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662" w:type="pct"/>
            <w:tcBorders>
              <w:top w:val="nil"/>
              <w:left w:val="nil"/>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2.本年支出</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37,004,963.04 </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40,368,965.58 </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-3,364,002.54 </w:t>
            </w: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662" w:type="pct"/>
            <w:tcBorders>
              <w:top w:val="nil"/>
              <w:left w:val="nil"/>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其中：基本支出</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18,409,940.82 </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18,544,764.99 </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-134,824.17 </w:t>
            </w: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662" w:type="pct"/>
            <w:tcBorders>
              <w:top w:val="nil"/>
              <w:left w:val="nil"/>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（1）人员经费</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14,694,606.16 </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15,516,939.06 </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-822,332.90 </w:t>
            </w: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662" w:type="pct"/>
            <w:tcBorders>
              <w:top w:val="nil"/>
              <w:left w:val="nil"/>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（2）日常公用经费</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3,715,334.66 </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3,027,825.93 </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687,508.73 </w:t>
            </w: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23.00%</w:t>
            </w:r>
          </w:p>
        </w:tc>
        <w:tc>
          <w:tcPr>
            <w:tcW w:w="662" w:type="pct"/>
            <w:tcBorders>
              <w:top w:val="nil"/>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本级政府非税收入补充经费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18,595,022.22 </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21,824,200.59 </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-3,229,178.37 </w:t>
            </w: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662" w:type="pct"/>
            <w:tcBorders>
              <w:top w:val="nil"/>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我镇2024年度项目数较上年投资减少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其中：基本建设类项目</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662" w:type="pct"/>
            <w:tcBorders>
              <w:top w:val="nil"/>
              <w:left w:val="nil"/>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事业单位经营支出</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662" w:type="pct"/>
            <w:tcBorders>
              <w:top w:val="nil"/>
              <w:left w:val="nil"/>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3.年末结转和结余</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662" w:type="pct"/>
            <w:tcBorders>
              <w:top w:val="nil"/>
              <w:left w:val="nil"/>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一般公共预算财政拨款</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662" w:type="pct"/>
            <w:tcBorders>
              <w:top w:val="nil"/>
              <w:left w:val="nil"/>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政府性基金预算财政拨款</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662" w:type="pct"/>
            <w:tcBorders>
              <w:top w:val="nil"/>
              <w:left w:val="nil"/>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国有资本经营预算财政拨款</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bottom"/>
          </w:tcPr>
          <w:p>
            <w:pPr>
              <w:jc w:val="right"/>
              <w:rPr>
                <w:rFonts w:hint="eastAsia" w:ascii="宋体" w:hAnsi="宋体" w:eastAsia="宋体" w:cs="宋体"/>
                <w:i w:val="0"/>
                <w:iCs w:val="0"/>
                <w:color w:val="000000"/>
                <w:sz w:val="22"/>
                <w:szCs w:val="22"/>
                <w:u w:val="none"/>
              </w:rPr>
            </w:pP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662" w:type="pct"/>
            <w:tcBorders>
              <w:top w:val="nil"/>
              <w:left w:val="nil"/>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非财政拨款</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662" w:type="pct"/>
            <w:tcBorders>
              <w:top w:val="nil"/>
              <w:left w:val="nil"/>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二、年末资产信息（单位：元）</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66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1.银行存款</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778,946.17 </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-778,946.17 </w:t>
            </w: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w:t>
            </w:r>
          </w:p>
        </w:tc>
        <w:tc>
          <w:tcPr>
            <w:tcW w:w="662" w:type="pct"/>
            <w:tcBorders>
              <w:top w:val="nil"/>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应付未付资金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2.房屋</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22,089,252.15 </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21,940,914.13 </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148,338.02 </w:t>
            </w: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662" w:type="pct"/>
            <w:tcBorders>
              <w:top w:val="nil"/>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2024年度有新验收入账的房屋固定资产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3.车辆</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805,370.80 </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81,000.00 </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724,370.80 </w:t>
            </w: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894.00%</w:t>
            </w:r>
          </w:p>
        </w:tc>
        <w:tc>
          <w:tcPr>
            <w:tcW w:w="662" w:type="pct"/>
            <w:tcBorders>
              <w:top w:val="nil"/>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接收上级单位无偿调拨吸污车、垃圾清运车辆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三、年末机构人员情况（单位：个、人）</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66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1.独立编制机构数</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 </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 </w:t>
            </w: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662" w:type="pct"/>
            <w:tcBorders>
              <w:top w:val="nil"/>
              <w:left w:val="nil"/>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2.独立核算机构数</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662" w:type="pct"/>
            <w:tcBorders>
              <w:top w:val="nil"/>
              <w:left w:val="nil"/>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3.编制内实有人数</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76 </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94 </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 </w:t>
            </w: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-19.00%</w:t>
            </w:r>
          </w:p>
        </w:tc>
        <w:tc>
          <w:tcPr>
            <w:tcW w:w="662" w:type="pct"/>
            <w:tcBorders>
              <w:top w:val="nil"/>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退休人员增加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公务员</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32 </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34 </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662" w:type="pct"/>
            <w:tcBorders>
              <w:top w:val="nil"/>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退休人员增加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参照公务员法管理事业人员</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662" w:type="pct"/>
            <w:tcBorders>
              <w:top w:val="nil"/>
              <w:left w:val="nil"/>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事业管理人员和专业技术人员</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44 </w:t>
            </w: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44 </w:t>
            </w: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662" w:type="pct"/>
            <w:tcBorders>
              <w:top w:val="nil"/>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去年决算填列在了非参公事业人员里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机关和事业工人</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662" w:type="pct"/>
            <w:tcBorders>
              <w:top w:val="nil"/>
              <w:left w:val="nil"/>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经费自理人员</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662" w:type="pct"/>
            <w:tcBorders>
              <w:top w:val="nil"/>
              <w:left w:val="nil"/>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4.单位发放离退休费的人数</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662" w:type="pct"/>
            <w:tcBorders>
              <w:top w:val="nil"/>
              <w:left w:val="nil"/>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离休人员</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662" w:type="pct"/>
            <w:tcBorders>
              <w:top w:val="nil"/>
              <w:left w:val="nil"/>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退休人员</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662" w:type="pct"/>
            <w:tcBorders>
              <w:top w:val="nil"/>
              <w:left w:val="nil"/>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5.其他人员数</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12 </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13 </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662" w:type="pct"/>
            <w:tcBorders>
              <w:top w:val="nil"/>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退休1人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6.年末学生人数</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662" w:type="pct"/>
            <w:tcBorders>
              <w:top w:val="nil"/>
              <w:left w:val="nil"/>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四、补充资料（单位：元）</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66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1.固定资产情况</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66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房屋面积（平方米）</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10,274.67 </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10,094.67 </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180.00 </w:t>
            </w: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662" w:type="pct"/>
            <w:tcBorders>
              <w:top w:val="nil"/>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2024年度有新验收入账的房屋固定资产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车辆数量（辆）</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5.00 </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2.00 </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3.00 </w:t>
            </w: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150.00%</w:t>
            </w:r>
          </w:p>
        </w:tc>
        <w:tc>
          <w:tcPr>
            <w:tcW w:w="662" w:type="pct"/>
            <w:tcBorders>
              <w:top w:val="nil"/>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接收上级单位无偿调拨吸污车、垃圾清运车辆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2.“三公”经费支出</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296,383.29 </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241,681.19 </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54,702.10 </w:t>
            </w: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23.00%</w:t>
            </w:r>
          </w:p>
        </w:tc>
        <w:tc>
          <w:tcPr>
            <w:tcW w:w="662" w:type="pct"/>
            <w:tcBorders>
              <w:top w:val="nil"/>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其中包含2023年度的应付未付部分经费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其中：因公出国（境）费</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662" w:type="pct"/>
            <w:tcBorders>
              <w:top w:val="nil"/>
              <w:left w:val="nil"/>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公务用车购置及运行维护费</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149,119.69 </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151,046.59 </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-1,926.90 </w:t>
            </w: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662" w:type="pct"/>
            <w:tcBorders>
              <w:top w:val="nil"/>
              <w:left w:val="nil"/>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其中：公务用车购置费</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662" w:type="pct"/>
            <w:tcBorders>
              <w:top w:val="nil"/>
              <w:left w:val="nil"/>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公务用车运行维护费</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149,119.69 </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151,046.59 </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-1,926.90 </w:t>
            </w: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662" w:type="pct"/>
            <w:tcBorders>
              <w:top w:val="nil"/>
              <w:left w:val="nil"/>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公务接待费</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147,263.60 </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90,634.60 </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56,629.00 </w:t>
            </w: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62.00%</w:t>
            </w:r>
          </w:p>
        </w:tc>
        <w:tc>
          <w:tcPr>
            <w:tcW w:w="662" w:type="pct"/>
            <w:tcBorders>
              <w:top w:val="nil"/>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其中包含2023年度的应付未付部分经费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3.培训费</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1,870.00 </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2,700.00 </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-830.00 </w:t>
            </w: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w:t>
            </w:r>
          </w:p>
        </w:tc>
        <w:tc>
          <w:tcPr>
            <w:tcW w:w="662" w:type="pct"/>
            <w:tcBorders>
              <w:top w:val="nil"/>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培训数量较上年度有所减少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4.会议费</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662" w:type="pct"/>
            <w:tcBorders>
              <w:top w:val="nil"/>
              <w:left w:val="nil"/>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5.机关运行经费</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3,715,334.66 </w:t>
            </w: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3,715,334.66 </w:t>
            </w: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662" w:type="pct"/>
            <w:tcBorders>
              <w:top w:val="nil"/>
              <w:left w:val="nil"/>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6.年初预算数</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66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本年收入合计</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26,909,765.04 </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26,973,377.69 </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-63,612.65 </w:t>
            </w: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662" w:type="pct"/>
            <w:tcBorders>
              <w:top w:val="nil"/>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项目较上年度有所减少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本年支出合计</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29,466,598.40 </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27,336,114.11 </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2,130,484.29 </w:t>
            </w: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w:t>
            </w:r>
          </w:p>
        </w:tc>
        <w:tc>
          <w:tcPr>
            <w:tcW w:w="662" w:type="pct"/>
            <w:tcBorders>
              <w:top w:val="nil"/>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项目支出较上年度有所减少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年末结转和结余</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662" w:type="pct"/>
            <w:tcBorders>
              <w:top w:val="nil"/>
              <w:left w:val="nil"/>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7.全年预算数</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662"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本年收入合计</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43,049,879.05 </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40,399,627.67 </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2,650,251.38 </w:t>
            </w: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w:t>
            </w:r>
          </w:p>
        </w:tc>
        <w:tc>
          <w:tcPr>
            <w:tcW w:w="662" w:type="pct"/>
            <w:tcBorders>
              <w:top w:val="nil"/>
              <w:left w:val="nil"/>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本年支出合计</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43,049,879.05 </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43,708,280.09 </w:t>
            </w:r>
          </w:p>
        </w:tc>
        <w:tc>
          <w:tcPr>
            <w:tcW w:w="6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-658,401.04 </w:t>
            </w: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662" w:type="pct"/>
            <w:tcBorders>
              <w:top w:val="nil"/>
              <w:left w:val="nil"/>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项目支出较上年度有所减少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年末结转和结余</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662" w:type="pct"/>
            <w:tcBorders>
              <w:top w:val="nil"/>
              <w:left w:val="nil"/>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8.非财政拨款结余</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662" w:type="pct"/>
            <w:tcBorders>
              <w:top w:val="nil"/>
              <w:left w:val="nil"/>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33"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9.专用结余</w:t>
            </w:r>
          </w:p>
        </w:tc>
        <w:tc>
          <w:tcPr>
            <w:tcW w:w="27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447"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662" w:type="pct"/>
            <w:tcBorders>
              <w:top w:val="nil"/>
              <w:left w:val="nil"/>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bl>
    <w:p>
      <w:pPr>
        <w:widowControl/>
        <w:numPr>
          <w:numId w:val="0"/>
        </w:numPr>
        <w:spacing w:before="240" w:after="240"/>
        <w:jc w:val="left"/>
        <w:rPr>
          <w:rFonts w:ascii="仿宋_GB2312" w:hAnsi="仿宋_GB2312" w:eastAsia="仿宋_GB2312" w:cs="仿宋_GB2312"/>
          <w:b w:val="0"/>
          <w:bCs w:val="0"/>
          <w:kern w:val="0"/>
          <w:sz w:val="27"/>
          <w:szCs w:val="27"/>
        </w:rPr>
      </w:pPr>
    </w:p>
    <w:p>
      <w:pPr>
        <w:pStyle w:val="5"/>
        <w:keepNext w:val="0"/>
        <w:keepLines w:val="0"/>
        <w:widowControl/>
        <w:spacing w:before="319" w:after="319" w:line="240" w:lineRule="auto"/>
        <w:jc w:val="left"/>
        <w:rPr>
          <w:rFonts w:ascii="Times New Roman" w:hAnsi="Times New Roman" w:eastAsia="Times New Roman" w:cs="Times New Roman"/>
          <w:b/>
          <w:bCs/>
          <w:kern w:val="0"/>
          <w:sz w:val="24"/>
        </w:rPr>
      </w:pPr>
      <w:r>
        <w:rPr>
          <w:rFonts w:ascii="Times New Roman" w:hAnsi="Times New Roman" w:eastAsia="Times New Roman" w:cs="Times New Roman"/>
          <w:kern w:val="0"/>
          <w:sz w:val="24"/>
          <w:szCs w:val="24"/>
        </w:rPr>
        <w:t>           </w:t>
      </w:r>
      <w:r>
        <w:rPr>
          <w:rFonts w:ascii="黑体" w:hAnsi="黑体" w:eastAsia="黑体" w:cs="黑体"/>
          <w:kern w:val="0"/>
          <w:sz w:val="27"/>
          <w:szCs w:val="27"/>
        </w:rPr>
        <w:t>3．支出按经济分类科目分析。</w:t>
      </w:r>
    </w:p>
    <w:p>
      <w:pPr>
        <w:widowControl/>
        <w:spacing w:before="240" w:after="240"/>
        <w:jc w:val="left"/>
        <w:rPr>
          <w:rFonts w:ascii="仿宋_GB2312" w:hAnsi="仿宋_GB2312" w:eastAsia="仿宋_GB2312" w:cs="仿宋_GB2312"/>
          <w:b w:val="0"/>
          <w:bCs w:val="0"/>
          <w:kern w:val="0"/>
          <w:sz w:val="27"/>
          <w:szCs w:val="27"/>
        </w:rPr>
      </w:pPr>
      <w:r>
        <w:rPr>
          <w:rFonts w:ascii="仿宋_GB2312" w:hAnsi="仿宋_GB2312" w:eastAsia="仿宋_GB2312" w:cs="仿宋_GB2312"/>
          <w:b w:val="0"/>
          <w:bCs w:val="0"/>
          <w:kern w:val="0"/>
          <w:sz w:val="27"/>
          <w:szCs w:val="27"/>
        </w:rPr>
        <w:t>     （1）“三公”经费支出情况：可进行上下年对比、预决算对比。分析“三公”经费实物量情况，例如公务用车购置及保有量、因公出国（境）团组数及人数和公务接待批次及人数等情况与分析。</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246"/>
        <w:gridCol w:w="638"/>
        <w:gridCol w:w="1366"/>
        <w:gridCol w:w="2107"/>
        <w:gridCol w:w="15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5000" w:type="pct"/>
            <w:gridSpan w:val="5"/>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bdr w:val="none" w:color="auto" w:sz="0" w:space="0"/>
                <w:lang w:val="en-US" w:eastAsia="zh-CN" w:bidi="ar"/>
              </w:rPr>
              <w:t>一般公共预算财政拨款“三公”经费支出情况统计表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455" w:type="pct"/>
            <w:gridSpan w:val="2"/>
            <w:tcBorders>
              <w:top w:val="nil"/>
              <w:left w:val="nil"/>
              <w:bottom w:val="nil"/>
              <w:right w:val="nil"/>
            </w:tcBorders>
            <w:shd w:val="clear"/>
            <w:noWrap/>
            <w:vAlign w:val="bottom"/>
          </w:tcPr>
          <w:p>
            <w:pPr>
              <w:rPr>
                <w:rFonts w:hint="eastAsia" w:ascii="等线" w:hAnsi="等线" w:eastAsia="等线" w:cs="等线"/>
                <w:i w:val="0"/>
                <w:iCs w:val="0"/>
                <w:color w:val="000000"/>
                <w:sz w:val="22"/>
                <w:szCs w:val="22"/>
                <w:u w:val="none"/>
              </w:rPr>
            </w:pPr>
          </w:p>
        </w:tc>
        <w:tc>
          <w:tcPr>
            <w:tcW w:w="684" w:type="pct"/>
            <w:tcBorders>
              <w:top w:val="nil"/>
              <w:left w:val="nil"/>
              <w:bottom w:val="nil"/>
              <w:right w:val="nil"/>
            </w:tcBorders>
            <w:shd w:val="clear"/>
            <w:noWrap/>
            <w:vAlign w:val="bottom"/>
          </w:tcPr>
          <w:p>
            <w:pPr>
              <w:rPr>
                <w:rFonts w:hint="default" w:ascii="等线" w:hAnsi="等线" w:eastAsia="等线" w:cs="等线"/>
                <w:i w:val="0"/>
                <w:iCs w:val="0"/>
                <w:color w:val="000000"/>
                <w:sz w:val="22"/>
                <w:szCs w:val="22"/>
                <w:u w:val="none"/>
              </w:rPr>
            </w:pPr>
          </w:p>
        </w:tc>
        <w:tc>
          <w:tcPr>
            <w:tcW w:w="1059" w:type="pct"/>
            <w:tcBorders>
              <w:top w:val="nil"/>
              <w:left w:val="nil"/>
              <w:bottom w:val="nil"/>
              <w:right w:val="nil"/>
            </w:tcBorders>
            <w:shd w:val="clear"/>
            <w:noWrap/>
            <w:vAlign w:val="bottom"/>
          </w:tcPr>
          <w:p>
            <w:pPr>
              <w:rPr>
                <w:rFonts w:hint="default" w:ascii="等线" w:hAnsi="等线" w:eastAsia="等线" w:cs="等线"/>
                <w:i w:val="0"/>
                <w:iCs w:val="0"/>
                <w:color w:val="000000"/>
                <w:sz w:val="22"/>
                <w:szCs w:val="22"/>
                <w:u w:val="none"/>
              </w:rPr>
            </w:pPr>
          </w:p>
        </w:tc>
        <w:tc>
          <w:tcPr>
            <w:tcW w:w="801" w:type="pct"/>
            <w:tcBorders>
              <w:top w:val="nil"/>
              <w:left w:val="nil"/>
              <w:bottom w:val="nil"/>
              <w:right w:val="nil"/>
            </w:tcBorders>
            <w:shd w:val="clear"/>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138" w:type="pct"/>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编制单位：奈曼旗东明镇人民政府</w:t>
            </w:r>
          </w:p>
        </w:tc>
        <w:tc>
          <w:tcPr>
            <w:tcW w:w="316" w:type="pct"/>
            <w:tcBorders>
              <w:top w:val="nil"/>
              <w:left w:val="nil"/>
              <w:bottom w:val="nil"/>
              <w:right w:val="nil"/>
            </w:tcBorders>
            <w:shd w:val="clear"/>
            <w:noWrap/>
            <w:vAlign w:val="bottom"/>
          </w:tcPr>
          <w:p>
            <w:pPr>
              <w:rPr>
                <w:rFonts w:hint="default" w:ascii="等线" w:hAnsi="等线" w:eastAsia="等线" w:cs="等线"/>
                <w:i w:val="0"/>
                <w:iCs w:val="0"/>
                <w:color w:val="000000"/>
                <w:sz w:val="22"/>
                <w:szCs w:val="22"/>
                <w:u w:val="none"/>
              </w:rPr>
            </w:pPr>
          </w:p>
        </w:tc>
        <w:tc>
          <w:tcPr>
            <w:tcW w:w="684" w:type="pct"/>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2024年度</w:t>
            </w:r>
          </w:p>
        </w:tc>
        <w:tc>
          <w:tcPr>
            <w:tcW w:w="1059" w:type="pct"/>
            <w:tcBorders>
              <w:top w:val="nil"/>
              <w:left w:val="nil"/>
              <w:bottom w:val="nil"/>
              <w:right w:val="nil"/>
            </w:tcBorders>
            <w:shd w:val="clear"/>
            <w:noWrap/>
            <w:vAlign w:val="bottom"/>
          </w:tcPr>
          <w:p>
            <w:pPr>
              <w:rPr>
                <w:rFonts w:hint="default" w:ascii="等线" w:hAnsi="等线" w:eastAsia="等线" w:cs="等线"/>
                <w:i w:val="0"/>
                <w:iCs w:val="0"/>
                <w:color w:val="000000"/>
                <w:sz w:val="22"/>
                <w:szCs w:val="22"/>
                <w:u w:val="none"/>
              </w:rPr>
            </w:pPr>
          </w:p>
        </w:tc>
        <w:tc>
          <w:tcPr>
            <w:tcW w:w="801" w:type="pct"/>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1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  目</w:t>
            </w:r>
          </w:p>
        </w:tc>
        <w:tc>
          <w:tcPr>
            <w:tcW w:w="316" w:type="pct"/>
            <w:vMerge w:val="restart"/>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684" w:type="pct"/>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年初预算数</w:t>
            </w:r>
          </w:p>
        </w:tc>
        <w:tc>
          <w:tcPr>
            <w:tcW w:w="1059" w:type="pct"/>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全年预算数</w:t>
            </w:r>
          </w:p>
        </w:tc>
        <w:tc>
          <w:tcPr>
            <w:tcW w:w="801" w:type="pct"/>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138" w:type="pc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  次</w:t>
            </w:r>
          </w:p>
        </w:tc>
        <w:tc>
          <w:tcPr>
            <w:tcW w:w="316" w:type="pct"/>
            <w:vMerge w:val="continue"/>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8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59" w:type="pc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801"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138"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一般公共预算财政拨款“三公”经费支出</w:t>
            </w:r>
          </w:p>
        </w:tc>
        <w:tc>
          <w:tcPr>
            <w:tcW w:w="31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8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10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801"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2138"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（一）支出合计</w:t>
            </w:r>
          </w:p>
        </w:tc>
        <w:tc>
          <w:tcPr>
            <w:tcW w:w="31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68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270,000.00 </w:t>
            </w:r>
          </w:p>
        </w:tc>
        <w:tc>
          <w:tcPr>
            <w:tcW w:w="10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296,383.29 </w:t>
            </w:r>
          </w:p>
        </w:tc>
        <w:tc>
          <w:tcPr>
            <w:tcW w:w="801"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296,383.29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2138"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1．因公出国（境）费</w:t>
            </w:r>
          </w:p>
        </w:tc>
        <w:tc>
          <w:tcPr>
            <w:tcW w:w="31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68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10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80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138"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2．公务用车购置及运行维护费</w:t>
            </w:r>
          </w:p>
        </w:tc>
        <w:tc>
          <w:tcPr>
            <w:tcW w:w="31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68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140,000.00 </w:t>
            </w:r>
          </w:p>
        </w:tc>
        <w:tc>
          <w:tcPr>
            <w:tcW w:w="10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149,119.69 </w:t>
            </w:r>
          </w:p>
        </w:tc>
        <w:tc>
          <w:tcPr>
            <w:tcW w:w="801"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149,119.69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138"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（1）公务用车购置费</w:t>
            </w:r>
          </w:p>
        </w:tc>
        <w:tc>
          <w:tcPr>
            <w:tcW w:w="31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684"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4"/>
                <w:szCs w:val="24"/>
                <w:u w:val="none"/>
              </w:rPr>
            </w:pPr>
          </w:p>
        </w:tc>
        <w:tc>
          <w:tcPr>
            <w:tcW w:w="1059"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80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138"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（2）公务用车运行维护费</w:t>
            </w:r>
          </w:p>
        </w:tc>
        <w:tc>
          <w:tcPr>
            <w:tcW w:w="31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68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140,000.00 </w:t>
            </w:r>
          </w:p>
        </w:tc>
        <w:tc>
          <w:tcPr>
            <w:tcW w:w="10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149,119.69 </w:t>
            </w:r>
          </w:p>
        </w:tc>
        <w:tc>
          <w:tcPr>
            <w:tcW w:w="801"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149,119.69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138"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3．公务接待费</w:t>
            </w:r>
          </w:p>
        </w:tc>
        <w:tc>
          <w:tcPr>
            <w:tcW w:w="31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68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130,000.00 </w:t>
            </w:r>
          </w:p>
        </w:tc>
        <w:tc>
          <w:tcPr>
            <w:tcW w:w="10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147,263.60 </w:t>
            </w:r>
          </w:p>
        </w:tc>
        <w:tc>
          <w:tcPr>
            <w:tcW w:w="801"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147,263.60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138"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（1）国内接待费</w:t>
            </w:r>
          </w:p>
        </w:tc>
        <w:tc>
          <w:tcPr>
            <w:tcW w:w="31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68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10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801"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147,263.60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138"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其中：外事接待费</w:t>
            </w:r>
          </w:p>
        </w:tc>
        <w:tc>
          <w:tcPr>
            <w:tcW w:w="31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68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10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80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138"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（2）国（境）外接待费</w:t>
            </w:r>
          </w:p>
        </w:tc>
        <w:tc>
          <w:tcPr>
            <w:tcW w:w="31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68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10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80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138"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（二）相关统计数</w:t>
            </w:r>
          </w:p>
        </w:tc>
        <w:tc>
          <w:tcPr>
            <w:tcW w:w="31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68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10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801"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138"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1．因公出国（境）团组数（个）</w:t>
            </w:r>
          </w:p>
        </w:tc>
        <w:tc>
          <w:tcPr>
            <w:tcW w:w="31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68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10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80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138"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2．因公出国（境）人次数（人）</w:t>
            </w:r>
          </w:p>
        </w:tc>
        <w:tc>
          <w:tcPr>
            <w:tcW w:w="31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68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10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80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138"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3．公务用车购置数（辆）</w:t>
            </w:r>
          </w:p>
        </w:tc>
        <w:tc>
          <w:tcPr>
            <w:tcW w:w="31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68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10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80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138"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4．公务用车保有量（辆）</w:t>
            </w:r>
          </w:p>
        </w:tc>
        <w:tc>
          <w:tcPr>
            <w:tcW w:w="31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68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10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801"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138"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5．国内公务接待批次（个）</w:t>
            </w:r>
          </w:p>
        </w:tc>
        <w:tc>
          <w:tcPr>
            <w:tcW w:w="31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68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10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801"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8"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其中：外事接待批次（个）</w:t>
            </w:r>
          </w:p>
        </w:tc>
        <w:tc>
          <w:tcPr>
            <w:tcW w:w="31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68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10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80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8"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6．国内公务接待人次（人）</w:t>
            </w:r>
          </w:p>
        </w:tc>
        <w:tc>
          <w:tcPr>
            <w:tcW w:w="31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68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10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801"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8"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其中：外事接待人次（人）</w:t>
            </w:r>
          </w:p>
        </w:tc>
        <w:tc>
          <w:tcPr>
            <w:tcW w:w="31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68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10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80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8"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7．国（境）外公务接待批次（个）</w:t>
            </w:r>
          </w:p>
        </w:tc>
        <w:tc>
          <w:tcPr>
            <w:tcW w:w="31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68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10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80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8" w:type="pc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8．国（境）外公务接待人次（人）</w:t>
            </w:r>
          </w:p>
        </w:tc>
        <w:tc>
          <w:tcPr>
            <w:tcW w:w="316"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684"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1059" w:type="pc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801" w:type="pct"/>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4"/>
                <w:szCs w:val="24"/>
                <w:u w:val="none"/>
              </w:rPr>
            </w:pPr>
          </w:p>
        </w:tc>
      </w:tr>
    </w:tbl>
    <w:p>
      <w:pPr>
        <w:widowControl/>
        <w:spacing w:before="240" w:after="240"/>
        <w:jc w:val="left"/>
        <w:rPr>
          <w:rFonts w:ascii="仿宋_GB2312" w:hAnsi="仿宋_GB2312" w:eastAsia="仿宋_GB2312" w:cs="仿宋_GB2312"/>
          <w:b w:val="0"/>
          <w:bCs w:val="0"/>
          <w:kern w:val="0"/>
          <w:sz w:val="27"/>
          <w:szCs w:val="27"/>
        </w:rPr>
      </w:pPr>
    </w:p>
    <w:p>
      <w:pPr>
        <w:widowControl/>
        <w:spacing w:before="240" w:after="240"/>
        <w:jc w:val="left"/>
        <w:rPr>
          <w:rFonts w:ascii="Times New Roman" w:hAnsi="Times New Roman" w:eastAsia="Times New Roman" w:cs="Times New Roman"/>
          <w:b w:val="0"/>
          <w:bCs w:val="0"/>
          <w:kern w:val="0"/>
          <w:sz w:val="24"/>
        </w:rPr>
      </w:pPr>
      <w:r>
        <w:rPr>
          <w:rFonts w:ascii="仿宋_GB2312" w:hAnsi="仿宋_GB2312" w:eastAsia="仿宋_GB2312" w:cs="仿宋_GB2312"/>
          <w:b w:val="0"/>
          <w:bCs w:val="0"/>
          <w:kern w:val="0"/>
          <w:sz w:val="27"/>
          <w:szCs w:val="27"/>
        </w:rPr>
        <w:t>“三公”经费支出情况</w:t>
      </w:r>
    </w:p>
    <w:p>
      <w:pPr>
        <w:widowControl/>
        <w:spacing w:before="240" w:after="240"/>
        <w:jc w:val="left"/>
        <w:rPr>
          <w:rFonts w:ascii="仿宋_GB2312" w:hAnsi="仿宋_GB2312" w:eastAsia="仿宋_GB2312" w:cs="仿宋_GB2312"/>
          <w:b w:val="0"/>
          <w:bCs w:val="0"/>
          <w:kern w:val="0"/>
          <w:sz w:val="27"/>
          <w:szCs w:val="27"/>
        </w:rPr>
      </w:pPr>
      <w:r>
        <w:rPr>
          <w:rFonts w:ascii="仿宋_GB2312" w:hAnsi="仿宋_GB2312" w:eastAsia="仿宋_GB2312" w:cs="仿宋_GB2312"/>
          <w:b w:val="0"/>
          <w:bCs w:val="0"/>
          <w:kern w:val="0"/>
          <w:sz w:val="27"/>
          <w:szCs w:val="27"/>
        </w:rPr>
        <w:t>支出合计决算数：29.64万元、因公出国（境）费决算数：0 万元、公务用车购置及运行维护费决算数：14.91万元、公务用车购置费决算数：0 万元、公务用车运行维护费决算数：14.91万元、公务接待费决算数：14.73万元、国内接待费决算数：14.73万元、其中：外事接待费决算数：0 万元、国（境）外接待费决算数：0 万元。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991"/>
        <w:gridCol w:w="1991"/>
        <w:gridCol w:w="1991"/>
        <w:gridCol w:w="1991"/>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91" w:type="dxa"/>
          </w:tcPr>
          <w:p>
            <w:pPr>
              <w:widowControl/>
              <w:spacing w:before="240" w:after="240"/>
              <w:jc w:val="left"/>
              <w:rPr>
                <w:rFonts w:hint="eastAsia" w:ascii="仿宋_GB2312" w:hAnsi="仿宋_GB2312" w:eastAsia="仿宋_GB2312" w:cs="仿宋_GB2312"/>
                <w:b w:val="0"/>
                <w:bCs w:val="0"/>
                <w:kern w:val="0"/>
                <w:sz w:val="27"/>
                <w:szCs w:val="27"/>
                <w:vertAlign w:val="baseline"/>
                <w:lang w:eastAsia="zh-CN"/>
              </w:rPr>
            </w:pPr>
            <w:r>
              <w:rPr>
                <w:rFonts w:hint="eastAsia" w:ascii="仿宋_GB2312" w:hAnsi="仿宋_GB2312" w:eastAsia="仿宋_GB2312" w:cs="仿宋_GB2312"/>
                <w:b w:val="0"/>
                <w:bCs w:val="0"/>
                <w:kern w:val="0"/>
                <w:sz w:val="27"/>
                <w:szCs w:val="27"/>
                <w:vertAlign w:val="baseline"/>
                <w:lang w:eastAsia="zh-CN"/>
              </w:rPr>
              <w:t>指标</w:t>
            </w:r>
          </w:p>
        </w:tc>
        <w:tc>
          <w:tcPr>
            <w:tcW w:w="1991" w:type="dxa"/>
          </w:tcPr>
          <w:p>
            <w:pPr>
              <w:widowControl/>
              <w:spacing w:before="240" w:after="240"/>
              <w:jc w:val="left"/>
              <w:rPr>
                <w:rFonts w:hint="default" w:ascii="仿宋_GB2312" w:hAnsi="仿宋_GB2312" w:eastAsia="仿宋_GB2312" w:cs="仿宋_GB2312"/>
                <w:b w:val="0"/>
                <w:bCs w:val="0"/>
                <w:kern w:val="0"/>
                <w:sz w:val="27"/>
                <w:szCs w:val="27"/>
                <w:vertAlign w:val="baseline"/>
                <w:lang w:val="en-US" w:eastAsia="zh-CN"/>
              </w:rPr>
            </w:pPr>
            <w:r>
              <w:rPr>
                <w:rFonts w:hint="eastAsia" w:ascii="仿宋_GB2312" w:hAnsi="仿宋_GB2312" w:eastAsia="仿宋_GB2312" w:cs="仿宋_GB2312"/>
                <w:b w:val="0"/>
                <w:bCs w:val="0"/>
                <w:kern w:val="0"/>
                <w:sz w:val="27"/>
                <w:szCs w:val="27"/>
                <w:vertAlign w:val="baseline"/>
                <w:lang w:eastAsia="zh-CN"/>
              </w:rPr>
              <w:t>本年度</w:t>
            </w:r>
          </w:p>
        </w:tc>
        <w:tc>
          <w:tcPr>
            <w:tcW w:w="1991" w:type="dxa"/>
          </w:tcPr>
          <w:p>
            <w:pPr>
              <w:widowControl/>
              <w:spacing w:before="240" w:after="240"/>
              <w:jc w:val="left"/>
              <w:rPr>
                <w:rFonts w:hint="eastAsia" w:ascii="仿宋_GB2312" w:hAnsi="仿宋_GB2312" w:eastAsia="仿宋_GB2312" w:cs="仿宋_GB2312"/>
                <w:b w:val="0"/>
                <w:bCs w:val="0"/>
                <w:kern w:val="0"/>
                <w:sz w:val="27"/>
                <w:szCs w:val="27"/>
                <w:vertAlign w:val="baseline"/>
                <w:lang w:eastAsia="zh-CN"/>
              </w:rPr>
            </w:pPr>
            <w:r>
              <w:rPr>
                <w:rFonts w:hint="eastAsia" w:ascii="仿宋_GB2312" w:hAnsi="仿宋_GB2312" w:eastAsia="仿宋_GB2312" w:cs="仿宋_GB2312"/>
                <w:b w:val="0"/>
                <w:bCs w:val="0"/>
                <w:kern w:val="0"/>
                <w:sz w:val="27"/>
                <w:szCs w:val="27"/>
                <w:vertAlign w:val="baseline"/>
                <w:lang w:eastAsia="zh-CN"/>
              </w:rPr>
              <w:t>上年度</w:t>
            </w:r>
          </w:p>
        </w:tc>
        <w:tc>
          <w:tcPr>
            <w:tcW w:w="1991" w:type="dxa"/>
          </w:tcPr>
          <w:p>
            <w:pPr>
              <w:widowControl/>
              <w:spacing w:before="240" w:after="240"/>
              <w:jc w:val="left"/>
              <w:rPr>
                <w:rFonts w:hint="eastAsia" w:ascii="仿宋_GB2312" w:hAnsi="仿宋_GB2312" w:eastAsia="仿宋_GB2312" w:cs="仿宋_GB2312"/>
                <w:b w:val="0"/>
                <w:bCs w:val="0"/>
                <w:kern w:val="0"/>
                <w:sz w:val="27"/>
                <w:szCs w:val="27"/>
                <w:vertAlign w:val="baseline"/>
                <w:lang w:eastAsia="zh-CN"/>
              </w:rPr>
            </w:pPr>
            <w:r>
              <w:rPr>
                <w:rFonts w:hint="eastAsia" w:ascii="仿宋_GB2312" w:hAnsi="仿宋_GB2312" w:eastAsia="仿宋_GB2312" w:cs="仿宋_GB2312"/>
                <w:b w:val="0"/>
                <w:bCs w:val="0"/>
                <w:kern w:val="0"/>
                <w:sz w:val="27"/>
                <w:szCs w:val="27"/>
                <w:vertAlign w:val="baseline"/>
                <w:lang w:eastAsia="zh-CN"/>
              </w:rPr>
              <w:t>比上年增减</w:t>
            </w:r>
          </w:p>
        </w:tc>
        <w:tc>
          <w:tcPr>
            <w:tcW w:w="1992" w:type="dxa"/>
          </w:tcPr>
          <w:p>
            <w:pPr>
              <w:widowControl/>
              <w:spacing w:before="240" w:after="240"/>
              <w:jc w:val="left"/>
              <w:rPr>
                <w:rFonts w:hint="default" w:ascii="仿宋_GB2312" w:hAnsi="仿宋_GB2312" w:eastAsia="仿宋_GB2312" w:cs="仿宋_GB2312"/>
                <w:b w:val="0"/>
                <w:bCs w:val="0"/>
                <w:kern w:val="0"/>
                <w:sz w:val="27"/>
                <w:szCs w:val="27"/>
                <w:vertAlign w:val="baseline"/>
                <w:lang w:val="en-US" w:eastAsia="zh-CN"/>
              </w:rPr>
            </w:pPr>
            <w:r>
              <w:rPr>
                <w:rFonts w:hint="eastAsia" w:ascii="仿宋_GB2312" w:hAnsi="仿宋_GB2312" w:eastAsia="仿宋_GB2312" w:cs="仿宋_GB2312"/>
                <w:b w:val="0"/>
                <w:bCs w:val="0"/>
                <w:kern w:val="0"/>
                <w:sz w:val="27"/>
                <w:szCs w:val="27"/>
                <w:vertAlign w:val="baseline"/>
                <w:lang w:val="en-US" w:eastAsia="zh-CN"/>
              </w:rPr>
              <w:t>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91" w:type="dxa"/>
          </w:tcPr>
          <w:p>
            <w:pPr>
              <w:widowControl/>
              <w:spacing w:before="240" w:after="240"/>
              <w:jc w:val="left"/>
              <w:rPr>
                <w:rFonts w:hint="eastAsia" w:ascii="仿宋_GB2312" w:hAnsi="仿宋_GB2312" w:eastAsia="仿宋_GB2312" w:cs="仿宋_GB2312"/>
                <w:b w:val="0"/>
                <w:bCs w:val="0"/>
                <w:kern w:val="0"/>
                <w:sz w:val="27"/>
                <w:szCs w:val="27"/>
                <w:vertAlign w:val="baseline"/>
                <w:lang w:eastAsia="zh-CN"/>
              </w:rPr>
            </w:pPr>
            <w:r>
              <w:rPr>
                <w:rFonts w:hint="eastAsia" w:ascii="仿宋_GB2312" w:hAnsi="仿宋_GB2312" w:eastAsia="仿宋_GB2312" w:cs="仿宋_GB2312"/>
                <w:b w:val="0"/>
                <w:bCs w:val="0"/>
                <w:kern w:val="0"/>
                <w:sz w:val="27"/>
                <w:szCs w:val="27"/>
                <w:vertAlign w:val="baseline"/>
                <w:lang w:eastAsia="zh-CN"/>
              </w:rPr>
              <w:t>公务接待费</w:t>
            </w:r>
          </w:p>
        </w:tc>
        <w:tc>
          <w:tcPr>
            <w:tcW w:w="1991" w:type="dxa"/>
          </w:tcPr>
          <w:p>
            <w:pPr>
              <w:widowControl/>
              <w:spacing w:before="240" w:after="240"/>
              <w:jc w:val="left"/>
              <w:rPr>
                <w:rFonts w:hint="default" w:ascii="仿宋_GB2312" w:hAnsi="仿宋_GB2312" w:eastAsia="仿宋_GB2312" w:cs="仿宋_GB2312"/>
                <w:b w:val="0"/>
                <w:bCs w:val="0"/>
                <w:kern w:val="0"/>
                <w:sz w:val="27"/>
                <w:szCs w:val="27"/>
                <w:vertAlign w:val="baseline"/>
                <w:lang w:val="en-US" w:eastAsia="zh-CN"/>
              </w:rPr>
            </w:pPr>
            <w:r>
              <w:rPr>
                <w:rFonts w:hint="eastAsia" w:ascii="仿宋_GB2312" w:hAnsi="仿宋_GB2312" w:eastAsia="仿宋_GB2312" w:cs="仿宋_GB2312"/>
                <w:b w:val="0"/>
                <w:bCs w:val="0"/>
                <w:kern w:val="0"/>
                <w:sz w:val="27"/>
                <w:szCs w:val="27"/>
                <w:vertAlign w:val="baseline"/>
                <w:lang w:val="en-US" w:eastAsia="zh-CN"/>
              </w:rPr>
              <w:t>147263.60元</w:t>
            </w:r>
          </w:p>
        </w:tc>
        <w:tc>
          <w:tcPr>
            <w:tcW w:w="1991" w:type="dxa"/>
          </w:tcPr>
          <w:p>
            <w:pPr>
              <w:widowControl/>
              <w:spacing w:before="240" w:after="240"/>
              <w:jc w:val="left"/>
              <w:rPr>
                <w:rFonts w:hint="default" w:ascii="仿宋_GB2312" w:hAnsi="仿宋_GB2312" w:eastAsia="仿宋_GB2312" w:cs="仿宋_GB2312"/>
                <w:b w:val="0"/>
                <w:bCs w:val="0"/>
                <w:kern w:val="0"/>
                <w:sz w:val="27"/>
                <w:szCs w:val="27"/>
                <w:vertAlign w:val="baseline"/>
                <w:lang w:val="en-US" w:eastAsia="zh-CN"/>
              </w:rPr>
            </w:pPr>
            <w:r>
              <w:rPr>
                <w:rFonts w:hint="eastAsia" w:ascii="仿宋_GB2312" w:hAnsi="仿宋_GB2312" w:eastAsia="仿宋_GB2312" w:cs="仿宋_GB2312"/>
                <w:b w:val="0"/>
                <w:bCs w:val="0"/>
                <w:kern w:val="0"/>
                <w:sz w:val="27"/>
                <w:szCs w:val="27"/>
                <w:vertAlign w:val="baseline"/>
                <w:lang w:val="en-US" w:eastAsia="zh-CN"/>
              </w:rPr>
              <w:t>90634.60元</w:t>
            </w:r>
          </w:p>
        </w:tc>
        <w:tc>
          <w:tcPr>
            <w:tcW w:w="1991" w:type="dxa"/>
          </w:tcPr>
          <w:p>
            <w:pPr>
              <w:widowControl/>
              <w:spacing w:before="240" w:after="240"/>
              <w:jc w:val="left"/>
              <w:rPr>
                <w:rFonts w:hint="default" w:ascii="仿宋_GB2312" w:hAnsi="仿宋_GB2312" w:eastAsia="仿宋_GB2312" w:cs="仿宋_GB2312"/>
                <w:b w:val="0"/>
                <w:bCs w:val="0"/>
                <w:kern w:val="0"/>
                <w:sz w:val="27"/>
                <w:szCs w:val="27"/>
                <w:vertAlign w:val="baseline"/>
                <w:lang w:val="en-US" w:eastAsia="zh-CN"/>
              </w:rPr>
            </w:pPr>
            <w:r>
              <w:rPr>
                <w:rFonts w:hint="eastAsia" w:ascii="仿宋_GB2312" w:hAnsi="仿宋_GB2312" w:eastAsia="仿宋_GB2312" w:cs="仿宋_GB2312"/>
                <w:b w:val="0"/>
                <w:bCs w:val="0"/>
                <w:kern w:val="0"/>
                <w:sz w:val="27"/>
                <w:szCs w:val="27"/>
                <w:vertAlign w:val="baseline"/>
                <w:lang w:val="en-US" w:eastAsia="zh-CN"/>
              </w:rPr>
              <w:t>56629.00元</w:t>
            </w:r>
          </w:p>
        </w:tc>
        <w:tc>
          <w:tcPr>
            <w:tcW w:w="1992" w:type="dxa"/>
          </w:tcPr>
          <w:p>
            <w:pPr>
              <w:widowControl/>
              <w:spacing w:before="240" w:after="240"/>
              <w:jc w:val="left"/>
              <w:rPr>
                <w:rFonts w:hint="default" w:ascii="仿宋_GB2312" w:hAnsi="仿宋_GB2312" w:eastAsia="仿宋_GB2312" w:cs="仿宋_GB2312"/>
                <w:b w:val="0"/>
                <w:bCs w:val="0"/>
                <w:kern w:val="0"/>
                <w:sz w:val="27"/>
                <w:szCs w:val="27"/>
                <w:vertAlign w:val="baseline"/>
                <w:lang w:val="en-US" w:eastAsia="zh-CN"/>
              </w:rPr>
            </w:pPr>
            <w:r>
              <w:rPr>
                <w:rFonts w:hint="eastAsia" w:ascii="仿宋_GB2312" w:hAnsi="仿宋_GB2312" w:eastAsia="仿宋_GB2312" w:cs="仿宋_GB2312"/>
                <w:b w:val="0"/>
                <w:bCs w:val="0"/>
                <w:kern w:val="0"/>
                <w:sz w:val="27"/>
                <w:szCs w:val="27"/>
                <w:vertAlign w:val="baseline"/>
                <w:lang w:val="en-US" w:eastAsia="zh-CN"/>
              </w:rPr>
              <w:t>62%</w:t>
            </w:r>
          </w:p>
        </w:tc>
      </w:tr>
    </w:tbl>
    <w:p>
      <w:pPr>
        <w:widowControl/>
        <w:spacing w:before="240" w:after="240"/>
        <w:jc w:val="left"/>
        <w:rPr>
          <w:rFonts w:hint="eastAsia" w:ascii="仿宋_GB2312" w:hAnsi="仿宋_GB2312" w:eastAsia="仿宋_GB2312" w:cs="仿宋_GB2312"/>
          <w:b w:val="0"/>
          <w:bCs w:val="0"/>
          <w:kern w:val="0"/>
          <w:sz w:val="27"/>
          <w:szCs w:val="27"/>
        </w:rPr>
      </w:pPr>
      <w:r>
        <w:rPr>
          <w:rFonts w:hint="eastAsia" w:ascii="仿宋_GB2312" w:hAnsi="仿宋_GB2312" w:eastAsia="仿宋_GB2312" w:cs="仿宋_GB2312"/>
          <w:b w:val="0"/>
          <w:bCs w:val="0"/>
          <w:kern w:val="0"/>
          <w:sz w:val="27"/>
          <w:szCs w:val="27"/>
        </w:rPr>
        <w:t>其中包含2023年度的应付未付部分经费</w:t>
      </w:r>
    </w:p>
    <w:p>
      <w:pPr>
        <w:widowControl/>
        <w:spacing w:before="240" w:after="240"/>
        <w:jc w:val="left"/>
        <w:rPr>
          <w:rFonts w:ascii="Times New Roman" w:hAnsi="Times New Roman" w:eastAsia="Times New Roman" w:cs="Times New Roman"/>
          <w:b w:val="0"/>
          <w:bCs w:val="0"/>
          <w:kern w:val="0"/>
          <w:sz w:val="24"/>
        </w:rPr>
      </w:pPr>
      <w:r>
        <w:rPr>
          <w:rFonts w:ascii="仿宋_GB2312" w:hAnsi="仿宋_GB2312" w:eastAsia="仿宋_GB2312" w:cs="仿宋_GB2312"/>
          <w:b w:val="0"/>
          <w:bCs w:val="0"/>
          <w:kern w:val="0"/>
          <w:sz w:val="27"/>
          <w:szCs w:val="27"/>
        </w:rPr>
        <w:t>”三公”经费实物量情况：</w:t>
      </w:r>
    </w:p>
    <w:p>
      <w:pPr>
        <w:widowControl/>
        <w:spacing w:before="240" w:after="240"/>
        <w:jc w:val="left"/>
        <w:rPr>
          <w:rFonts w:ascii="Times New Roman" w:hAnsi="Times New Roman" w:eastAsia="Times New Roman" w:cs="Times New Roman"/>
          <w:b w:val="0"/>
          <w:bCs w:val="0"/>
          <w:kern w:val="0"/>
          <w:sz w:val="24"/>
        </w:rPr>
      </w:pPr>
      <w:r>
        <w:rPr>
          <w:rFonts w:ascii="仿宋_GB2312" w:hAnsi="仿宋_GB2312" w:eastAsia="仿宋_GB2312" w:cs="仿宋_GB2312"/>
          <w:b w:val="0"/>
          <w:bCs w:val="0"/>
          <w:kern w:val="0"/>
          <w:sz w:val="27"/>
          <w:szCs w:val="27"/>
        </w:rPr>
        <w:t>因公出国（境）团组数（个）：0个、因公出国（境）人次数（人）：0人、公务用车购置数（辆）：0辆、公务用车保有量（辆）：2辆、国内公务接待批次（个）：159个、其中：外事接待批次（个）：0个、国内公务接待人次（人）：1600人、其中：外事接待人次（人）：0人、国（境）外公务接待批次（个）：0个、国（境）外公务接待人次（人）：0 人。</w:t>
      </w:r>
    </w:p>
    <w:p>
      <w:pPr>
        <w:widowControl/>
        <w:spacing w:before="240" w:after="240"/>
        <w:jc w:val="left"/>
        <w:rPr>
          <w:rFonts w:hint="default" w:ascii="Times New Roman" w:hAnsi="Times New Roman" w:eastAsia="仿宋_GB2312" w:cs="Times New Roman"/>
          <w:b w:val="0"/>
          <w:bCs w:val="0"/>
          <w:kern w:val="0"/>
          <w:sz w:val="24"/>
          <w:lang w:val="en-US" w:eastAsia="zh-CN"/>
        </w:rPr>
      </w:pPr>
      <w:r>
        <w:rPr>
          <w:rFonts w:ascii="仿宋_GB2312" w:hAnsi="仿宋_GB2312" w:eastAsia="仿宋_GB2312" w:cs="仿宋_GB2312"/>
          <w:b w:val="0"/>
          <w:bCs w:val="0"/>
          <w:kern w:val="0"/>
          <w:sz w:val="27"/>
          <w:szCs w:val="27"/>
        </w:rPr>
        <w:t>     （2）会议费支出情况：可进行上下年对比，人均支出情况分析（可做表、柱图、折线图）。</w:t>
      </w:r>
      <w:r>
        <w:rPr>
          <w:rFonts w:hint="eastAsia" w:ascii="仿宋_GB2312" w:hAnsi="仿宋_GB2312" w:eastAsia="仿宋_GB2312" w:cs="仿宋_GB2312"/>
          <w:b w:val="0"/>
          <w:bCs w:val="0"/>
          <w:kern w:val="0"/>
          <w:sz w:val="27"/>
          <w:szCs w:val="27"/>
          <w:lang w:val="en-US" w:eastAsia="zh-CN"/>
        </w:rPr>
        <w:t>2024年度没有列支会议费，原因是本年度会议召开在本单位，没有花费额外费用。</w:t>
      </w:r>
    </w:p>
    <w:p>
      <w:pPr>
        <w:widowControl/>
        <w:spacing w:before="240" w:after="240"/>
        <w:jc w:val="left"/>
        <w:rPr>
          <w:rFonts w:ascii="仿宋_GB2312" w:hAnsi="仿宋_GB2312" w:eastAsia="仿宋_GB2312" w:cs="仿宋_GB2312"/>
          <w:b w:val="0"/>
          <w:bCs w:val="0"/>
          <w:kern w:val="0"/>
          <w:sz w:val="27"/>
          <w:szCs w:val="27"/>
        </w:rPr>
      </w:pPr>
      <w:r>
        <w:rPr>
          <w:rFonts w:ascii="仿宋_GB2312" w:hAnsi="仿宋_GB2312" w:eastAsia="仿宋_GB2312" w:cs="仿宋_GB2312"/>
          <w:b w:val="0"/>
          <w:bCs w:val="0"/>
          <w:kern w:val="0"/>
          <w:sz w:val="27"/>
          <w:szCs w:val="27"/>
        </w:rPr>
        <w:t>     （3）培训费支出情况：可进行上下年对比，人均支出情况分析（可做表、柱图、折线图）。</w:t>
      </w:r>
    </w:p>
    <w:tbl>
      <w:tblPr>
        <w:tblStyle w:val="29"/>
        <w:tblW w:w="5000" w:type="pct"/>
        <w:tblCellSpacing w:w="15" w:type="dxa"/>
        <w:tblInd w:w="0" w:type="dxa"/>
        <w:tblLayout w:type="autofit"/>
        <w:tblCellMar>
          <w:top w:w="15" w:type="dxa"/>
          <w:left w:w="15" w:type="dxa"/>
          <w:bottom w:w="15" w:type="dxa"/>
          <w:right w:w="15" w:type="dxa"/>
        </w:tblCellMar>
      </w:tblPr>
      <w:tblGrid>
        <w:gridCol w:w="3551"/>
        <w:gridCol w:w="565"/>
        <w:gridCol w:w="910"/>
        <w:gridCol w:w="1036"/>
        <w:gridCol w:w="1288"/>
        <w:gridCol w:w="785"/>
        <w:gridCol w:w="1695"/>
      </w:tblGrid>
      <w:tr>
        <w:tblPrEx>
          <w:tblCellMar>
            <w:top w:w="15" w:type="dxa"/>
            <w:left w:w="15" w:type="dxa"/>
            <w:bottom w:w="15" w:type="dxa"/>
            <w:right w:w="15" w:type="dxa"/>
          </w:tblCellMar>
        </w:tblPrEx>
        <w:trPr>
          <w:tblHeader/>
          <w:tblCellSpacing w:w="15" w:type="dxa"/>
        </w:trPr>
        <w:tc>
          <w:tcPr>
            <w:tcW w:w="4969" w:type="pct"/>
            <w:gridSpan w:val="7"/>
            <w:noWrap w:val="0"/>
            <w:tcMar>
              <w:top w:w="15" w:type="dxa"/>
              <w:left w:w="15" w:type="dxa"/>
              <w:bottom w:w="15" w:type="dxa"/>
              <w:right w:w="15" w:type="dxa"/>
            </w:tcMar>
            <w:vAlign w:val="center"/>
          </w:tcPr>
          <w:p>
            <w:pPr>
              <w:widowControl/>
              <w:jc w:val="left"/>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 w:val="24"/>
                <w:szCs w:val="24"/>
              </w:rPr>
              <w:t>主要指标变动情况表</w:t>
            </w:r>
          </w:p>
        </w:tc>
      </w:tr>
      <w:tr>
        <w:tblPrEx>
          <w:tblCellMar>
            <w:top w:w="15" w:type="dxa"/>
            <w:left w:w="15" w:type="dxa"/>
            <w:bottom w:w="15" w:type="dxa"/>
            <w:right w:w="15" w:type="dxa"/>
          </w:tblCellMar>
        </w:tblPrEx>
        <w:trPr>
          <w:tblHeader/>
          <w:tblCellSpacing w:w="15" w:type="dxa"/>
        </w:trPr>
        <w:tc>
          <w:tcPr>
            <w:tcW w:w="2094" w:type="pct"/>
            <w:gridSpan w:val="2"/>
            <w:noWrap w:val="0"/>
            <w:tcMar>
              <w:top w:w="15" w:type="dxa"/>
              <w:left w:w="15" w:type="dxa"/>
              <w:bottom w:w="15" w:type="dxa"/>
              <w:right w:w="15" w:type="dxa"/>
            </w:tcMar>
            <w:vAlign w:val="center"/>
          </w:tcPr>
          <w:p>
            <w:pPr>
              <w:widowControl/>
              <w:jc w:val="left"/>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 w:val="24"/>
                <w:szCs w:val="24"/>
              </w:rPr>
              <w:t>编制单位：奈曼旗东明镇人民政府</w:t>
            </w:r>
          </w:p>
        </w:tc>
        <w:tc>
          <w:tcPr>
            <w:tcW w:w="456" w:type="pct"/>
            <w:noWrap w:val="0"/>
            <w:tcMar>
              <w:top w:w="15" w:type="dxa"/>
              <w:left w:w="15" w:type="dxa"/>
              <w:bottom w:w="15" w:type="dxa"/>
              <w:right w:w="15" w:type="dxa"/>
            </w:tcMar>
            <w:vAlign w:val="center"/>
          </w:tcPr>
          <w:p>
            <w:pPr>
              <w:widowControl/>
              <w:jc w:val="left"/>
              <w:rPr>
                <w:rFonts w:ascii="Times New Roman" w:hAnsi="Times New Roman" w:eastAsia="Times New Roman" w:cs="Times New Roman"/>
                <w:b w:val="0"/>
                <w:bCs w:val="0"/>
                <w:i w:val="0"/>
                <w:iCs w:val="0"/>
                <w:smallCaps w:val="0"/>
                <w:color w:val="000000"/>
                <w:kern w:val="0"/>
                <w:sz w:val="24"/>
                <w:szCs w:val="24"/>
              </w:rPr>
            </w:pPr>
          </w:p>
        </w:tc>
        <w:tc>
          <w:tcPr>
            <w:tcW w:w="521" w:type="pct"/>
            <w:noWrap w:val="0"/>
            <w:tcMar>
              <w:top w:w="15" w:type="dxa"/>
              <w:left w:w="15" w:type="dxa"/>
              <w:bottom w:w="15" w:type="dxa"/>
              <w:right w:w="15" w:type="dxa"/>
            </w:tcMar>
            <w:vAlign w:val="center"/>
          </w:tcPr>
          <w:p>
            <w:pPr>
              <w:widowControl/>
              <w:jc w:val="left"/>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 w:val="24"/>
                <w:szCs w:val="24"/>
              </w:rPr>
              <w:t>202</w:t>
            </w:r>
            <w:r>
              <w:rPr>
                <w:rFonts w:hint="eastAsia" w:cs="Times New Roman"/>
                <w:b w:val="0"/>
                <w:bCs w:val="0"/>
                <w:i w:val="0"/>
                <w:iCs w:val="0"/>
                <w:smallCaps w:val="0"/>
                <w:color w:val="000000"/>
                <w:kern w:val="0"/>
                <w:sz w:val="24"/>
                <w:szCs w:val="24"/>
                <w:lang w:val="en-US" w:eastAsia="zh-CN"/>
              </w:rPr>
              <w:t>4</w:t>
            </w:r>
            <w:r>
              <w:rPr>
                <w:rFonts w:ascii="宋体" w:hAnsi="宋体" w:eastAsia="宋体" w:cs="宋体"/>
                <w:b w:val="0"/>
                <w:bCs w:val="0"/>
                <w:i w:val="0"/>
                <w:iCs w:val="0"/>
                <w:smallCaps w:val="0"/>
                <w:color w:val="000000"/>
                <w:kern w:val="0"/>
                <w:sz w:val="24"/>
                <w:szCs w:val="24"/>
              </w:rPr>
              <w:t>年度</w:t>
            </w:r>
          </w:p>
        </w:tc>
        <w:tc>
          <w:tcPr>
            <w:tcW w:w="652" w:type="pct"/>
            <w:noWrap w:val="0"/>
            <w:tcMar>
              <w:top w:w="15" w:type="dxa"/>
              <w:left w:w="15" w:type="dxa"/>
              <w:bottom w:w="15" w:type="dxa"/>
              <w:right w:w="15" w:type="dxa"/>
            </w:tcMar>
            <w:vAlign w:val="center"/>
          </w:tcPr>
          <w:p>
            <w:pPr>
              <w:widowControl/>
              <w:jc w:val="left"/>
              <w:rPr>
                <w:rFonts w:ascii="Times New Roman" w:hAnsi="Times New Roman" w:eastAsia="Times New Roman" w:cs="Times New Roman"/>
                <w:b w:val="0"/>
                <w:bCs w:val="0"/>
                <w:i w:val="0"/>
                <w:iCs w:val="0"/>
                <w:smallCaps w:val="0"/>
                <w:color w:val="000000"/>
                <w:kern w:val="0"/>
                <w:sz w:val="24"/>
                <w:szCs w:val="24"/>
              </w:rPr>
            </w:pPr>
          </w:p>
        </w:tc>
        <w:tc>
          <w:tcPr>
            <w:tcW w:w="391" w:type="pct"/>
            <w:noWrap w:val="0"/>
            <w:tcMar>
              <w:top w:w="15" w:type="dxa"/>
              <w:left w:w="15" w:type="dxa"/>
              <w:bottom w:w="15" w:type="dxa"/>
              <w:right w:w="15" w:type="dxa"/>
            </w:tcMar>
            <w:vAlign w:val="center"/>
          </w:tcPr>
          <w:p>
            <w:pPr>
              <w:widowControl/>
              <w:jc w:val="left"/>
              <w:rPr>
                <w:rFonts w:ascii="Times New Roman" w:hAnsi="Times New Roman" w:eastAsia="Times New Roman" w:cs="Times New Roman"/>
                <w:b w:val="0"/>
                <w:bCs w:val="0"/>
                <w:i w:val="0"/>
                <w:iCs w:val="0"/>
                <w:smallCaps w:val="0"/>
                <w:color w:val="000000"/>
                <w:kern w:val="0"/>
                <w:sz w:val="24"/>
                <w:szCs w:val="24"/>
              </w:rPr>
            </w:pPr>
          </w:p>
        </w:tc>
        <w:tc>
          <w:tcPr>
            <w:tcW w:w="776" w:type="pct"/>
            <w:noWrap w:val="0"/>
            <w:tcMar>
              <w:top w:w="15" w:type="dxa"/>
              <w:left w:w="15" w:type="dxa"/>
              <w:bottom w:w="15" w:type="dxa"/>
              <w:right w:w="15" w:type="dxa"/>
            </w:tcMar>
            <w:vAlign w:val="center"/>
          </w:tcPr>
          <w:p>
            <w:pPr>
              <w:widowControl/>
              <w:jc w:val="left"/>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 w:val="24"/>
                <w:szCs w:val="24"/>
              </w:rPr>
              <w:t>金额单位：元</w:t>
            </w:r>
          </w:p>
        </w:tc>
      </w:tr>
      <w:tr>
        <w:tblPrEx>
          <w:tblCellMar>
            <w:top w:w="15" w:type="dxa"/>
            <w:left w:w="15" w:type="dxa"/>
            <w:bottom w:w="15" w:type="dxa"/>
            <w:right w:w="15" w:type="dxa"/>
          </w:tblCellMar>
        </w:tblPrEx>
        <w:trPr>
          <w:tblHeader/>
          <w:tblCellSpacing w:w="15" w:type="dxa"/>
        </w:trPr>
        <w:tc>
          <w:tcPr>
            <w:tcW w:w="1817" w:type="pct"/>
            <w:vMerge w:val="restart"/>
            <w:noWrap w:val="0"/>
            <w:tcMar>
              <w:top w:w="15" w:type="dxa"/>
              <w:left w:w="15" w:type="dxa"/>
              <w:bottom w:w="15" w:type="dxa"/>
              <w:right w:w="15" w:type="dxa"/>
            </w:tcMar>
            <w:vAlign w:val="center"/>
          </w:tcPr>
          <w:p>
            <w:pPr>
              <w:widowControl/>
              <w:jc w:val="left"/>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 w:val="24"/>
                <w:szCs w:val="24"/>
              </w:rPr>
              <w:t>指</w:t>
            </w:r>
            <w:r>
              <w:rPr>
                <w:rFonts w:ascii="Times New Roman" w:hAnsi="Times New Roman" w:eastAsia="Times New Roman" w:cs="Times New Roman"/>
                <w:b w:val="0"/>
                <w:bCs w:val="0"/>
                <w:i w:val="0"/>
                <w:iCs w:val="0"/>
                <w:smallCaps w:val="0"/>
                <w:color w:val="000000"/>
                <w:kern w:val="0"/>
                <w:sz w:val="24"/>
                <w:szCs w:val="24"/>
              </w:rPr>
              <w:t xml:space="preserve">    </w:t>
            </w:r>
            <w:r>
              <w:rPr>
                <w:rFonts w:ascii="宋体" w:hAnsi="宋体" w:eastAsia="宋体" w:cs="宋体"/>
                <w:b w:val="0"/>
                <w:bCs w:val="0"/>
                <w:i w:val="0"/>
                <w:iCs w:val="0"/>
                <w:smallCaps w:val="0"/>
                <w:color w:val="000000"/>
                <w:kern w:val="0"/>
                <w:sz w:val="24"/>
                <w:szCs w:val="24"/>
              </w:rPr>
              <w:t>标</w:t>
            </w:r>
          </w:p>
        </w:tc>
        <w:tc>
          <w:tcPr>
            <w:tcW w:w="261" w:type="pct"/>
            <w:vMerge w:val="restart"/>
            <w:noWrap w:val="0"/>
            <w:tcMar>
              <w:top w:w="15" w:type="dxa"/>
              <w:left w:w="15" w:type="dxa"/>
              <w:bottom w:w="15" w:type="dxa"/>
              <w:right w:w="15" w:type="dxa"/>
            </w:tcMar>
            <w:vAlign w:val="center"/>
          </w:tcPr>
          <w:p>
            <w:pPr>
              <w:widowControl/>
              <w:jc w:val="left"/>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 w:val="24"/>
                <w:szCs w:val="24"/>
              </w:rPr>
              <w:t>行次</w:t>
            </w:r>
          </w:p>
        </w:tc>
        <w:tc>
          <w:tcPr>
            <w:tcW w:w="456" w:type="pct"/>
            <w:vMerge w:val="restart"/>
            <w:noWrap w:val="0"/>
            <w:tcMar>
              <w:top w:w="15" w:type="dxa"/>
              <w:left w:w="15" w:type="dxa"/>
              <w:bottom w:w="15" w:type="dxa"/>
              <w:right w:w="15" w:type="dxa"/>
            </w:tcMar>
            <w:vAlign w:val="center"/>
          </w:tcPr>
          <w:p>
            <w:pPr>
              <w:widowControl/>
              <w:jc w:val="left"/>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 w:val="24"/>
                <w:szCs w:val="24"/>
              </w:rPr>
              <w:t>本年度</w:t>
            </w:r>
          </w:p>
        </w:tc>
        <w:tc>
          <w:tcPr>
            <w:tcW w:w="521" w:type="pct"/>
            <w:vMerge w:val="restart"/>
            <w:noWrap w:val="0"/>
            <w:tcMar>
              <w:top w:w="15" w:type="dxa"/>
              <w:left w:w="15" w:type="dxa"/>
              <w:bottom w:w="15" w:type="dxa"/>
              <w:right w:w="15" w:type="dxa"/>
            </w:tcMar>
            <w:vAlign w:val="center"/>
          </w:tcPr>
          <w:p>
            <w:pPr>
              <w:widowControl/>
              <w:jc w:val="left"/>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 w:val="24"/>
                <w:szCs w:val="24"/>
              </w:rPr>
              <w:t>上年度</w:t>
            </w:r>
          </w:p>
        </w:tc>
        <w:tc>
          <w:tcPr>
            <w:tcW w:w="652" w:type="pct"/>
            <w:vMerge w:val="restart"/>
            <w:noWrap w:val="0"/>
            <w:tcMar>
              <w:top w:w="15" w:type="dxa"/>
              <w:left w:w="15" w:type="dxa"/>
              <w:bottom w:w="15" w:type="dxa"/>
              <w:right w:w="15" w:type="dxa"/>
            </w:tcMar>
            <w:vAlign w:val="center"/>
          </w:tcPr>
          <w:p>
            <w:pPr>
              <w:widowControl/>
              <w:jc w:val="left"/>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 w:val="24"/>
                <w:szCs w:val="24"/>
              </w:rPr>
              <w:t>比上年增减</w:t>
            </w:r>
          </w:p>
        </w:tc>
        <w:tc>
          <w:tcPr>
            <w:tcW w:w="391" w:type="pct"/>
            <w:vMerge w:val="restart"/>
            <w:noWrap w:val="0"/>
            <w:tcMar>
              <w:top w:w="15" w:type="dxa"/>
              <w:left w:w="15" w:type="dxa"/>
              <w:bottom w:w="15" w:type="dxa"/>
              <w:right w:w="15" w:type="dxa"/>
            </w:tcMar>
            <w:vAlign w:val="center"/>
          </w:tcPr>
          <w:p>
            <w:pPr>
              <w:widowControl/>
              <w:jc w:val="left"/>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 w:val="24"/>
                <w:szCs w:val="24"/>
              </w:rPr>
              <w:t>增减％</w:t>
            </w:r>
          </w:p>
        </w:tc>
        <w:tc>
          <w:tcPr>
            <w:tcW w:w="776" w:type="pct"/>
            <w:vMerge w:val="restart"/>
            <w:noWrap w:val="0"/>
            <w:tcMar>
              <w:top w:w="15" w:type="dxa"/>
              <w:left w:w="15" w:type="dxa"/>
              <w:bottom w:w="15" w:type="dxa"/>
              <w:right w:w="15" w:type="dxa"/>
            </w:tcMar>
            <w:vAlign w:val="center"/>
          </w:tcPr>
          <w:p>
            <w:pPr>
              <w:widowControl/>
              <w:jc w:val="left"/>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 w:val="24"/>
                <w:szCs w:val="24"/>
              </w:rPr>
              <w:t>原因</w:t>
            </w:r>
          </w:p>
        </w:tc>
      </w:tr>
      <w:tr>
        <w:tblPrEx>
          <w:tblCellMar>
            <w:top w:w="15" w:type="dxa"/>
            <w:left w:w="15" w:type="dxa"/>
            <w:bottom w:w="15" w:type="dxa"/>
            <w:right w:w="15" w:type="dxa"/>
          </w:tblCellMar>
        </w:tblPrEx>
        <w:trPr>
          <w:tblHeader/>
          <w:tblCellSpacing w:w="15" w:type="dxa"/>
        </w:trPr>
        <w:tc>
          <w:tcPr>
            <w:tcW w:w="1817" w:type="pct"/>
            <w:vMerge w:val="continue"/>
            <w:vAlign w:val="center"/>
          </w:tcPr>
          <w:p>
            <w:pPr>
              <w:rPr>
                <w:rFonts w:ascii="Times New Roman" w:hAnsi="Times New Roman" w:eastAsia="Times New Roman" w:cs="Times New Roman"/>
                <w:b w:val="0"/>
                <w:bCs w:val="0"/>
                <w:i w:val="0"/>
                <w:iCs w:val="0"/>
                <w:smallCaps w:val="0"/>
                <w:color w:val="000000"/>
                <w:kern w:val="0"/>
                <w:sz w:val="24"/>
                <w:szCs w:val="24"/>
              </w:rPr>
            </w:pPr>
          </w:p>
        </w:tc>
        <w:tc>
          <w:tcPr>
            <w:tcW w:w="261" w:type="pct"/>
            <w:vMerge w:val="continue"/>
            <w:vAlign w:val="center"/>
          </w:tcPr>
          <w:p>
            <w:pPr>
              <w:rPr>
                <w:rFonts w:ascii="Times New Roman" w:hAnsi="Times New Roman" w:eastAsia="Times New Roman" w:cs="Times New Roman"/>
                <w:b w:val="0"/>
                <w:bCs w:val="0"/>
                <w:i w:val="0"/>
                <w:iCs w:val="0"/>
                <w:smallCaps w:val="0"/>
                <w:color w:val="000000"/>
                <w:kern w:val="0"/>
                <w:sz w:val="24"/>
                <w:szCs w:val="24"/>
              </w:rPr>
            </w:pPr>
          </w:p>
        </w:tc>
        <w:tc>
          <w:tcPr>
            <w:tcW w:w="456" w:type="pct"/>
            <w:vMerge w:val="continue"/>
            <w:vAlign w:val="center"/>
          </w:tcPr>
          <w:p>
            <w:pPr>
              <w:rPr>
                <w:rFonts w:ascii="Times New Roman" w:hAnsi="Times New Roman" w:eastAsia="Times New Roman" w:cs="Times New Roman"/>
                <w:b w:val="0"/>
                <w:bCs w:val="0"/>
                <w:i w:val="0"/>
                <w:iCs w:val="0"/>
                <w:smallCaps w:val="0"/>
                <w:color w:val="000000"/>
                <w:kern w:val="0"/>
                <w:sz w:val="24"/>
                <w:szCs w:val="24"/>
              </w:rPr>
            </w:pPr>
          </w:p>
        </w:tc>
        <w:tc>
          <w:tcPr>
            <w:tcW w:w="521" w:type="pct"/>
            <w:vMerge w:val="continue"/>
            <w:vAlign w:val="center"/>
          </w:tcPr>
          <w:p>
            <w:pPr>
              <w:rPr>
                <w:rFonts w:ascii="Times New Roman" w:hAnsi="Times New Roman" w:eastAsia="Times New Roman" w:cs="Times New Roman"/>
                <w:b w:val="0"/>
                <w:bCs w:val="0"/>
                <w:i w:val="0"/>
                <w:iCs w:val="0"/>
                <w:smallCaps w:val="0"/>
                <w:color w:val="000000"/>
                <w:kern w:val="0"/>
                <w:sz w:val="24"/>
                <w:szCs w:val="24"/>
              </w:rPr>
            </w:pPr>
          </w:p>
        </w:tc>
        <w:tc>
          <w:tcPr>
            <w:tcW w:w="652" w:type="pct"/>
            <w:vMerge w:val="continue"/>
            <w:vAlign w:val="center"/>
          </w:tcPr>
          <w:p>
            <w:pPr>
              <w:rPr>
                <w:rFonts w:ascii="Times New Roman" w:hAnsi="Times New Roman" w:eastAsia="Times New Roman" w:cs="Times New Roman"/>
                <w:b w:val="0"/>
                <w:bCs w:val="0"/>
                <w:i w:val="0"/>
                <w:iCs w:val="0"/>
                <w:smallCaps w:val="0"/>
                <w:color w:val="000000"/>
                <w:kern w:val="0"/>
                <w:sz w:val="24"/>
                <w:szCs w:val="24"/>
              </w:rPr>
            </w:pPr>
          </w:p>
        </w:tc>
        <w:tc>
          <w:tcPr>
            <w:tcW w:w="391" w:type="pct"/>
            <w:vMerge w:val="continue"/>
            <w:vAlign w:val="center"/>
          </w:tcPr>
          <w:p>
            <w:pPr>
              <w:rPr>
                <w:rFonts w:ascii="Times New Roman" w:hAnsi="Times New Roman" w:eastAsia="Times New Roman" w:cs="Times New Roman"/>
                <w:b w:val="0"/>
                <w:bCs w:val="0"/>
                <w:i w:val="0"/>
                <w:iCs w:val="0"/>
                <w:smallCaps w:val="0"/>
                <w:color w:val="000000"/>
                <w:kern w:val="0"/>
                <w:sz w:val="24"/>
                <w:szCs w:val="24"/>
              </w:rPr>
            </w:pPr>
          </w:p>
        </w:tc>
        <w:tc>
          <w:tcPr>
            <w:tcW w:w="776" w:type="pct"/>
            <w:vMerge w:val="continue"/>
            <w:vAlign w:val="center"/>
          </w:tcPr>
          <w:p>
            <w:pPr>
              <w:rPr>
                <w:rFonts w:ascii="Times New Roman" w:hAnsi="Times New Roman" w:eastAsia="Times New Roman" w:cs="Times New Roman"/>
                <w:b w:val="0"/>
                <w:bCs w:val="0"/>
                <w:i w:val="0"/>
                <w:iCs w:val="0"/>
                <w:smallCaps w:val="0"/>
                <w:color w:val="000000"/>
                <w:kern w:val="0"/>
                <w:sz w:val="24"/>
                <w:szCs w:val="24"/>
              </w:rPr>
            </w:pPr>
          </w:p>
        </w:tc>
      </w:tr>
      <w:tr>
        <w:tblPrEx>
          <w:tblCellMar>
            <w:top w:w="15" w:type="dxa"/>
            <w:left w:w="15" w:type="dxa"/>
            <w:bottom w:w="15" w:type="dxa"/>
            <w:right w:w="15" w:type="dxa"/>
          </w:tblCellMar>
        </w:tblPrEx>
        <w:trPr>
          <w:tblHeader/>
          <w:tblCellSpacing w:w="15" w:type="dxa"/>
        </w:trPr>
        <w:tc>
          <w:tcPr>
            <w:tcW w:w="1817" w:type="pct"/>
            <w:noWrap w:val="0"/>
            <w:tcMar>
              <w:top w:w="15" w:type="dxa"/>
              <w:left w:w="15" w:type="dxa"/>
              <w:bottom w:w="15" w:type="dxa"/>
              <w:right w:w="15" w:type="dxa"/>
            </w:tcMar>
            <w:vAlign w:val="center"/>
          </w:tcPr>
          <w:p>
            <w:pPr>
              <w:widowControl/>
              <w:jc w:val="left"/>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 w:val="24"/>
                <w:szCs w:val="24"/>
              </w:rPr>
              <w:t>栏</w:t>
            </w:r>
            <w:r>
              <w:rPr>
                <w:rFonts w:ascii="Times New Roman" w:hAnsi="Times New Roman" w:eastAsia="Times New Roman" w:cs="Times New Roman"/>
                <w:b w:val="0"/>
                <w:bCs w:val="0"/>
                <w:i w:val="0"/>
                <w:iCs w:val="0"/>
                <w:smallCaps w:val="0"/>
                <w:color w:val="000000"/>
                <w:kern w:val="0"/>
                <w:sz w:val="24"/>
                <w:szCs w:val="24"/>
              </w:rPr>
              <w:t xml:space="preserve">    </w:t>
            </w:r>
            <w:r>
              <w:rPr>
                <w:rFonts w:ascii="宋体" w:hAnsi="宋体" w:eastAsia="宋体" w:cs="宋体"/>
                <w:b w:val="0"/>
                <w:bCs w:val="0"/>
                <w:i w:val="0"/>
                <w:iCs w:val="0"/>
                <w:smallCaps w:val="0"/>
                <w:color w:val="000000"/>
                <w:kern w:val="0"/>
                <w:sz w:val="24"/>
                <w:szCs w:val="24"/>
              </w:rPr>
              <w:t>次</w:t>
            </w:r>
          </w:p>
        </w:tc>
        <w:tc>
          <w:tcPr>
            <w:tcW w:w="261" w:type="pct"/>
            <w:vMerge w:val="continue"/>
            <w:vAlign w:val="center"/>
          </w:tcPr>
          <w:p>
            <w:pPr>
              <w:rPr>
                <w:rFonts w:ascii="Times New Roman" w:hAnsi="Times New Roman" w:eastAsia="Times New Roman" w:cs="Times New Roman"/>
                <w:b w:val="0"/>
                <w:bCs w:val="0"/>
                <w:i w:val="0"/>
                <w:iCs w:val="0"/>
                <w:smallCaps w:val="0"/>
                <w:color w:val="000000"/>
                <w:kern w:val="0"/>
                <w:sz w:val="24"/>
                <w:szCs w:val="24"/>
              </w:rPr>
            </w:pPr>
          </w:p>
        </w:tc>
        <w:tc>
          <w:tcPr>
            <w:tcW w:w="456" w:type="pct"/>
            <w:noWrap w:val="0"/>
            <w:tcMar>
              <w:top w:w="15" w:type="dxa"/>
              <w:left w:w="15" w:type="dxa"/>
              <w:bottom w:w="15" w:type="dxa"/>
              <w:right w:w="15" w:type="dxa"/>
            </w:tcMar>
            <w:vAlign w:val="center"/>
          </w:tcPr>
          <w:p>
            <w:pPr>
              <w:widowControl/>
              <w:jc w:val="left"/>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 w:val="24"/>
                <w:szCs w:val="24"/>
              </w:rPr>
              <w:t>1</w:t>
            </w:r>
          </w:p>
        </w:tc>
        <w:tc>
          <w:tcPr>
            <w:tcW w:w="521" w:type="pct"/>
            <w:noWrap w:val="0"/>
            <w:tcMar>
              <w:top w:w="15" w:type="dxa"/>
              <w:left w:w="15" w:type="dxa"/>
              <w:bottom w:w="15" w:type="dxa"/>
              <w:right w:w="15" w:type="dxa"/>
            </w:tcMar>
            <w:vAlign w:val="center"/>
          </w:tcPr>
          <w:p>
            <w:pPr>
              <w:widowControl/>
              <w:jc w:val="left"/>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 w:val="24"/>
                <w:szCs w:val="24"/>
              </w:rPr>
              <w:t>2</w:t>
            </w:r>
          </w:p>
        </w:tc>
        <w:tc>
          <w:tcPr>
            <w:tcW w:w="652" w:type="pct"/>
            <w:noWrap w:val="0"/>
            <w:tcMar>
              <w:top w:w="15" w:type="dxa"/>
              <w:left w:w="15" w:type="dxa"/>
              <w:bottom w:w="15" w:type="dxa"/>
              <w:right w:w="15" w:type="dxa"/>
            </w:tcMar>
            <w:vAlign w:val="center"/>
          </w:tcPr>
          <w:p>
            <w:pPr>
              <w:widowControl/>
              <w:jc w:val="left"/>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 w:val="24"/>
                <w:szCs w:val="24"/>
              </w:rPr>
              <w:t>3</w:t>
            </w:r>
          </w:p>
        </w:tc>
        <w:tc>
          <w:tcPr>
            <w:tcW w:w="391" w:type="pct"/>
            <w:noWrap w:val="0"/>
            <w:tcMar>
              <w:top w:w="15" w:type="dxa"/>
              <w:left w:w="15" w:type="dxa"/>
              <w:bottom w:w="15" w:type="dxa"/>
              <w:right w:w="15" w:type="dxa"/>
            </w:tcMar>
            <w:vAlign w:val="center"/>
          </w:tcPr>
          <w:p>
            <w:pPr>
              <w:widowControl/>
              <w:jc w:val="left"/>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 w:val="24"/>
                <w:szCs w:val="24"/>
              </w:rPr>
              <w:t>4</w:t>
            </w:r>
          </w:p>
        </w:tc>
        <w:tc>
          <w:tcPr>
            <w:tcW w:w="776" w:type="pct"/>
            <w:noWrap w:val="0"/>
            <w:tcMar>
              <w:top w:w="15" w:type="dxa"/>
              <w:left w:w="15" w:type="dxa"/>
              <w:bottom w:w="15" w:type="dxa"/>
              <w:right w:w="15" w:type="dxa"/>
            </w:tcMar>
            <w:vAlign w:val="center"/>
          </w:tcPr>
          <w:p>
            <w:pPr>
              <w:widowControl/>
              <w:jc w:val="left"/>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 w:val="24"/>
                <w:szCs w:val="24"/>
              </w:rPr>
              <w:t>5</w:t>
            </w:r>
          </w:p>
        </w:tc>
      </w:tr>
      <w:tr>
        <w:tblPrEx>
          <w:tblCellMar>
            <w:top w:w="15" w:type="dxa"/>
            <w:left w:w="15" w:type="dxa"/>
            <w:bottom w:w="15" w:type="dxa"/>
            <w:right w:w="15" w:type="dxa"/>
          </w:tblCellMar>
        </w:tblPrEx>
        <w:trPr>
          <w:tblCellSpacing w:w="15" w:type="dxa"/>
        </w:trPr>
        <w:tc>
          <w:tcPr>
            <w:tcW w:w="1817" w:type="pct"/>
            <w:noWrap w:val="0"/>
            <w:tcMar>
              <w:top w:w="15" w:type="dxa"/>
              <w:left w:w="15" w:type="dxa"/>
              <w:bottom w:w="15" w:type="dxa"/>
              <w:right w:w="15" w:type="dxa"/>
            </w:tcMar>
            <w:vAlign w:val="center"/>
          </w:tcPr>
          <w:p>
            <w:pPr>
              <w:widowControl/>
              <w:jc w:val="left"/>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 w:val="24"/>
                <w:szCs w:val="24"/>
              </w:rPr>
              <w:t>一、年度收支情况（单位：元）</w:t>
            </w:r>
          </w:p>
        </w:tc>
        <w:tc>
          <w:tcPr>
            <w:tcW w:w="261" w:type="pct"/>
            <w:noWrap w:val="0"/>
            <w:tcMar>
              <w:top w:w="15" w:type="dxa"/>
              <w:left w:w="15" w:type="dxa"/>
              <w:bottom w:w="15" w:type="dxa"/>
              <w:right w:w="15" w:type="dxa"/>
            </w:tcMar>
            <w:vAlign w:val="center"/>
          </w:tcPr>
          <w:p>
            <w:pPr>
              <w:widowControl/>
              <w:jc w:val="left"/>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 w:val="24"/>
                <w:szCs w:val="24"/>
              </w:rPr>
              <w:t>1</w:t>
            </w:r>
          </w:p>
        </w:tc>
        <w:tc>
          <w:tcPr>
            <w:tcW w:w="456" w:type="pct"/>
            <w:noWrap w:val="0"/>
            <w:tcMar>
              <w:top w:w="15" w:type="dxa"/>
              <w:left w:w="15" w:type="dxa"/>
              <w:bottom w:w="15" w:type="dxa"/>
              <w:right w:w="15" w:type="dxa"/>
            </w:tcMar>
            <w:vAlign w:val="center"/>
          </w:tcPr>
          <w:p>
            <w:pPr>
              <w:widowControl/>
              <w:jc w:val="left"/>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 w:val="24"/>
                <w:szCs w:val="24"/>
              </w:rPr>
              <w:t>—</w:t>
            </w:r>
          </w:p>
        </w:tc>
        <w:tc>
          <w:tcPr>
            <w:tcW w:w="521" w:type="pct"/>
            <w:noWrap w:val="0"/>
            <w:tcMar>
              <w:top w:w="15" w:type="dxa"/>
              <w:left w:w="15" w:type="dxa"/>
              <w:bottom w:w="15" w:type="dxa"/>
              <w:right w:w="15" w:type="dxa"/>
            </w:tcMar>
            <w:vAlign w:val="center"/>
          </w:tcPr>
          <w:p>
            <w:pPr>
              <w:widowControl/>
              <w:jc w:val="left"/>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 w:val="24"/>
                <w:szCs w:val="24"/>
              </w:rPr>
              <w:t>—</w:t>
            </w:r>
          </w:p>
        </w:tc>
        <w:tc>
          <w:tcPr>
            <w:tcW w:w="652" w:type="pct"/>
            <w:noWrap w:val="0"/>
            <w:tcMar>
              <w:top w:w="15" w:type="dxa"/>
              <w:left w:w="15" w:type="dxa"/>
              <w:bottom w:w="15" w:type="dxa"/>
              <w:right w:w="15" w:type="dxa"/>
            </w:tcMar>
            <w:vAlign w:val="center"/>
          </w:tcPr>
          <w:p>
            <w:pPr>
              <w:widowControl/>
              <w:jc w:val="left"/>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 w:val="24"/>
                <w:szCs w:val="24"/>
              </w:rPr>
              <w:t>—</w:t>
            </w:r>
          </w:p>
        </w:tc>
        <w:tc>
          <w:tcPr>
            <w:tcW w:w="391" w:type="pct"/>
            <w:noWrap w:val="0"/>
            <w:tcMar>
              <w:top w:w="15" w:type="dxa"/>
              <w:left w:w="15" w:type="dxa"/>
              <w:bottom w:w="15" w:type="dxa"/>
              <w:right w:w="15" w:type="dxa"/>
            </w:tcMar>
            <w:vAlign w:val="center"/>
          </w:tcPr>
          <w:p>
            <w:pPr>
              <w:widowControl/>
              <w:jc w:val="left"/>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 w:val="24"/>
                <w:szCs w:val="24"/>
              </w:rPr>
              <w:t>—</w:t>
            </w:r>
          </w:p>
        </w:tc>
        <w:tc>
          <w:tcPr>
            <w:tcW w:w="776" w:type="pct"/>
            <w:noWrap w:val="0"/>
            <w:tcMar>
              <w:top w:w="15" w:type="dxa"/>
              <w:left w:w="15" w:type="dxa"/>
              <w:bottom w:w="15" w:type="dxa"/>
              <w:right w:w="15" w:type="dxa"/>
            </w:tcMar>
            <w:vAlign w:val="center"/>
          </w:tcPr>
          <w:p>
            <w:pPr>
              <w:widowControl/>
              <w:jc w:val="left"/>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 w:val="24"/>
                <w:szCs w:val="24"/>
              </w:rPr>
              <w:t>—</w:t>
            </w:r>
          </w:p>
        </w:tc>
      </w:tr>
      <w:tr>
        <w:tblPrEx>
          <w:tblCellMar>
            <w:top w:w="15" w:type="dxa"/>
            <w:left w:w="15" w:type="dxa"/>
            <w:bottom w:w="15" w:type="dxa"/>
            <w:right w:w="15" w:type="dxa"/>
          </w:tblCellMar>
        </w:tblPrEx>
        <w:trPr>
          <w:tblCellSpacing w:w="15" w:type="dxa"/>
        </w:trPr>
        <w:tc>
          <w:tcPr>
            <w:tcW w:w="1817" w:type="pct"/>
            <w:noWrap w:val="0"/>
            <w:tcMar>
              <w:top w:w="15" w:type="dxa"/>
              <w:left w:w="15" w:type="dxa"/>
              <w:bottom w:w="15" w:type="dxa"/>
              <w:right w:w="15" w:type="dxa"/>
            </w:tcMar>
            <w:vAlign w:val="center"/>
          </w:tcPr>
          <w:p>
            <w:pPr>
              <w:widowControl/>
              <w:jc w:val="left"/>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 w:val="24"/>
                <w:szCs w:val="24"/>
              </w:rPr>
              <w:t>3.</w:t>
            </w:r>
            <w:r>
              <w:rPr>
                <w:rFonts w:ascii="宋体" w:hAnsi="宋体" w:eastAsia="宋体" w:cs="宋体"/>
                <w:b w:val="0"/>
                <w:bCs w:val="0"/>
                <w:i w:val="0"/>
                <w:iCs w:val="0"/>
                <w:smallCaps w:val="0"/>
                <w:color w:val="000000"/>
                <w:kern w:val="0"/>
                <w:sz w:val="24"/>
                <w:szCs w:val="24"/>
              </w:rPr>
              <w:t>培训费</w:t>
            </w:r>
          </w:p>
        </w:tc>
        <w:tc>
          <w:tcPr>
            <w:tcW w:w="261" w:type="pct"/>
            <w:noWrap w:val="0"/>
            <w:tcMar>
              <w:top w:w="15" w:type="dxa"/>
              <w:left w:w="15" w:type="dxa"/>
              <w:bottom w:w="15" w:type="dxa"/>
              <w:right w:w="15" w:type="dxa"/>
            </w:tcMar>
            <w:vAlign w:val="center"/>
          </w:tcPr>
          <w:p>
            <w:pPr>
              <w:widowControl/>
              <w:jc w:val="left"/>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 w:val="24"/>
                <w:szCs w:val="24"/>
              </w:rPr>
              <w:t>51</w:t>
            </w:r>
          </w:p>
        </w:tc>
        <w:tc>
          <w:tcPr>
            <w:tcW w:w="456" w:type="pct"/>
            <w:noWrap w:val="0"/>
            <w:tcMar>
              <w:top w:w="15" w:type="dxa"/>
              <w:left w:w="15" w:type="dxa"/>
              <w:bottom w:w="15" w:type="dxa"/>
              <w:right w:w="15" w:type="dxa"/>
            </w:tcMar>
            <w:vAlign w:val="center"/>
          </w:tcPr>
          <w:p>
            <w:pPr>
              <w:widowControl/>
              <w:jc w:val="left"/>
              <w:rPr>
                <w:rFonts w:hint="default" w:ascii="Times New Roman" w:hAnsi="Times New Roman" w:eastAsia="宋体" w:cs="Times New Roman"/>
                <w:b w:val="0"/>
                <w:bCs w:val="0"/>
                <w:i w:val="0"/>
                <w:iCs w:val="0"/>
                <w:smallCaps w:val="0"/>
                <w:color w:val="000000"/>
                <w:kern w:val="0"/>
                <w:sz w:val="24"/>
                <w:szCs w:val="24"/>
                <w:lang w:val="en-US" w:eastAsia="zh-CN"/>
              </w:rPr>
            </w:pPr>
            <w:r>
              <w:rPr>
                <w:rFonts w:hint="eastAsia" w:cs="Times New Roman"/>
                <w:b w:val="0"/>
                <w:bCs w:val="0"/>
                <w:i w:val="0"/>
                <w:iCs w:val="0"/>
                <w:smallCaps w:val="0"/>
                <w:color w:val="000000"/>
                <w:kern w:val="0"/>
                <w:sz w:val="24"/>
                <w:szCs w:val="24"/>
                <w:lang w:val="en-US" w:eastAsia="zh-CN"/>
              </w:rPr>
              <w:t>1870.00</w:t>
            </w:r>
          </w:p>
        </w:tc>
        <w:tc>
          <w:tcPr>
            <w:tcW w:w="521" w:type="pct"/>
            <w:noWrap w:val="0"/>
            <w:tcMar>
              <w:top w:w="15" w:type="dxa"/>
              <w:left w:w="15" w:type="dxa"/>
              <w:bottom w:w="15" w:type="dxa"/>
              <w:right w:w="15" w:type="dxa"/>
            </w:tcMar>
            <w:vAlign w:val="center"/>
          </w:tcPr>
          <w:p>
            <w:pPr>
              <w:widowControl/>
              <w:jc w:val="left"/>
              <w:rPr>
                <w:rFonts w:hint="default" w:ascii="Times New Roman" w:hAnsi="Times New Roman" w:eastAsia="宋体" w:cs="Times New Roman"/>
                <w:b w:val="0"/>
                <w:bCs w:val="0"/>
                <w:i w:val="0"/>
                <w:iCs w:val="0"/>
                <w:smallCaps w:val="0"/>
                <w:color w:val="000000"/>
                <w:kern w:val="0"/>
                <w:sz w:val="24"/>
                <w:szCs w:val="24"/>
                <w:lang w:val="en-US" w:eastAsia="zh-CN"/>
              </w:rPr>
            </w:pPr>
            <w:r>
              <w:rPr>
                <w:rFonts w:hint="eastAsia" w:cs="Times New Roman"/>
                <w:b w:val="0"/>
                <w:bCs w:val="0"/>
                <w:i w:val="0"/>
                <w:iCs w:val="0"/>
                <w:smallCaps w:val="0"/>
                <w:color w:val="000000"/>
                <w:kern w:val="0"/>
                <w:sz w:val="24"/>
                <w:szCs w:val="24"/>
                <w:lang w:val="en-US" w:eastAsia="zh-CN"/>
              </w:rPr>
              <w:t>2700.00</w:t>
            </w:r>
          </w:p>
        </w:tc>
        <w:tc>
          <w:tcPr>
            <w:tcW w:w="652" w:type="pct"/>
            <w:noWrap w:val="0"/>
            <w:tcMar>
              <w:top w:w="15" w:type="dxa"/>
              <w:left w:w="15" w:type="dxa"/>
              <w:bottom w:w="15" w:type="dxa"/>
              <w:right w:w="15" w:type="dxa"/>
            </w:tcMar>
            <w:vAlign w:val="center"/>
          </w:tcPr>
          <w:p>
            <w:pPr>
              <w:widowControl/>
              <w:jc w:val="left"/>
              <w:rPr>
                <w:rFonts w:ascii="Times New Roman" w:hAnsi="Times New Roman" w:eastAsia="Times New Roman" w:cs="Times New Roman"/>
                <w:b w:val="0"/>
                <w:bCs w:val="0"/>
                <w:i w:val="0"/>
                <w:iCs w:val="0"/>
                <w:smallCaps w:val="0"/>
                <w:color w:val="000000"/>
                <w:kern w:val="0"/>
                <w:sz w:val="24"/>
                <w:szCs w:val="24"/>
              </w:rPr>
            </w:pPr>
            <w:r>
              <w:rPr>
                <w:rFonts w:ascii="Times New Roman" w:hAnsi="Times New Roman" w:eastAsia="Times New Roman" w:cs="Times New Roman"/>
                <w:b w:val="0"/>
                <w:bCs w:val="0"/>
                <w:i w:val="0"/>
                <w:iCs w:val="0"/>
                <w:smallCaps w:val="0"/>
                <w:color w:val="000000"/>
                <w:kern w:val="0"/>
                <w:sz w:val="24"/>
                <w:szCs w:val="24"/>
              </w:rPr>
              <w:t>-</w:t>
            </w:r>
            <w:r>
              <w:rPr>
                <w:rFonts w:hint="eastAsia" w:cs="Times New Roman"/>
                <w:b w:val="0"/>
                <w:bCs w:val="0"/>
                <w:i w:val="0"/>
                <w:iCs w:val="0"/>
                <w:smallCaps w:val="0"/>
                <w:color w:val="000000"/>
                <w:kern w:val="0"/>
                <w:sz w:val="24"/>
                <w:szCs w:val="24"/>
                <w:lang w:val="en-US" w:eastAsia="zh-CN"/>
              </w:rPr>
              <w:t>8</w:t>
            </w:r>
            <w:r>
              <w:rPr>
                <w:rFonts w:ascii="Times New Roman" w:hAnsi="Times New Roman" w:eastAsia="Times New Roman" w:cs="Times New Roman"/>
                <w:b w:val="0"/>
                <w:bCs w:val="0"/>
                <w:i w:val="0"/>
                <w:iCs w:val="0"/>
                <w:smallCaps w:val="0"/>
                <w:color w:val="000000"/>
                <w:kern w:val="0"/>
                <w:sz w:val="24"/>
                <w:szCs w:val="24"/>
              </w:rPr>
              <w:t>30.00</w:t>
            </w:r>
          </w:p>
        </w:tc>
        <w:tc>
          <w:tcPr>
            <w:tcW w:w="391" w:type="pct"/>
            <w:noWrap w:val="0"/>
            <w:tcMar>
              <w:top w:w="15" w:type="dxa"/>
              <w:left w:w="15" w:type="dxa"/>
              <w:bottom w:w="15" w:type="dxa"/>
              <w:right w:w="15" w:type="dxa"/>
            </w:tcMar>
            <w:vAlign w:val="center"/>
          </w:tcPr>
          <w:p>
            <w:pPr>
              <w:widowControl/>
              <w:jc w:val="left"/>
              <w:rPr>
                <w:rFonts w:hint="default" w:ascii="Times New Roman" w:hAnsi="Times New Roman" w:eastAsia="宋体" w:cs="Times New Roman"/>
                <w:b w:val="0"/>
                <w:bCs w:val="0"/>
                <w:i w:val="0"/>
                <w:iCs w:val="0"/>
                <w:smallCaps w:val="0"/>
                <w:color w:val="000000"/>
                <w:kern w:val="0"/>
                <w:sz w:val="24"/>
                <w:szCs w:val="24"/>
                <w:lang w:val="en-US" w:eastAsia="zh-CN"/>
              </w:rPr>
            </w:pPr>
            <w:r>
              <w:rPr>
                <w:rFonts w:ascii="Times New Roman" w:hAnsi="Times New Roman" w:eastAsia="Times New Roman" w:cs="Times New Roman"/>
                <w:b w:val="0"/>
                <w:bCs w:val="0"/>
                <w:i w:val="0"/>
                <w:iCs w:val="0"/>
                <w:smallCaps w:val="0"/>
                <w:color w:val="000000"/>
                <w:kern w:val="0"/>
                <w:sz w:val="24"/>
                <w:szCs w:val="24"/>
              </w:rPr>
              <w:t>-</w:t>
            </w:r>
            <w:r>
              <w:rPr>
                <w:rFonts w:hint="eastAsia" w:cs="Times New Roman"/>
                <w:b w:val="0"/>
                <w:bCs w:val="0"/>
                <w:i w:val="0"/>
                <w:iCs w:val="0"/>
                <w:smallCaps w:val="0"/>
                <w:color w:val="000000"/>
                <w:kern w:val="0"/>
                <w:sz w:val="24"/>
                <w:szCs w:val="24"/>
                <w:lang w:val="en-US" w:eastAsia="zh-CN"/>
              </w:rPr>
              <w:t>30.74</w:t>
            </w:r>
          </w:p>
        </w:tc>
        <w:tc>
          <w:tcPr>
            <w:tcW w:w="776" w:type="pct"/>
            <w:noWrap w:val="0"/>
            <w:tcMar>
              <w:top w:w="15" w:type="dxa"/>
              <w:left w:w="15" w:type="dxa"/>
              <w:bottom w:w="15" w:type="dxa"/>
              <w:right w:w="15" w:type="dxa"/>
            </w:tcMar>
            <w:vAlign w:val="center"/>
          </w:tcPr>
          <w:p>
            <w:pPr>
              <w:widowControl/>
              <w:jc w:val="left"/>
              <w:rPr>
                <w:rFonts w:ascii="Times New Roman" w:hAnsi="Times New Roman" w:eastAsia="Times New Roman" w:cs="Times New Roman"/>
                <w:b w:val="0"/>
                <w:bCs w:val="0"/>
                <w:i w:val="0"/>
                <w:iCs w:val="0"/>
                <w:smallCaps w:val="0"/>
                <w:color w:val="000000"/>
                <w:kern w:val="0"/>
                <w:sz w:val="24"/>
                <w:szCs w:val="24"/>
              </w:rPr>
            </w:pPr>
          </w:p>
        </w:tc>
      </w:tr>
    </w:tbl>
    <w:p>
      <w:pPr>
        <w:widowControl/>
        <w:spacing w:before="240" w:after="240"/>
        <w:jc w:val="left"/>
        <w:rPr>
          <w:rFonts w:hint="eastAsia" w:ascii="仿宋_GB2312" w:hAnsi="仿宋_GB2312" w:eastAsia="仿宋_GB2312" w:cs="仿宋_GB2312"/>
          <w:b w:val="0"/>
          <w:bCs w:val="0"/>
          <w:kern w:val="0"/>
          <w:sz w:val="27"/>
          <w:szCs w:val="27"/>
          <w:lang w:eastAsia="zh-CN"/>
        </w:rPr>
      </w:pPr>
      <w:r>
        <w:rPr>
          <w:rFonts w:hint="eastAsia" w:ascii="仿宋_GB2312" w:hAnsi="仿宋_GB2312" w:eastAsia="仿宋_GB2312" w:cs="仿宋_GB2312"/>
          <w:b w:val="0"/>
          <w:bCs w:val="0"/>
          <w:kern w:val="0"/>
          <w:sz w:val="27"/>
          <w:szCs w:val="27"/>
          <w:lang w:eastAsia="zh-CN"/>
        </w:rPr>
        <w:t>培训数量较上年度有所减少</w:t>
      </w:r>
    </w:p>
    <w:p>
      <w:pPr>
        <w:widowControl/>
        <w:numPr>
          <w:ilvl w:val="0"/>
          <w:numId w:val="1"/>
        </w:numPr>
        <w:spacing w:before="240" w:after="240"/>
        <w:ind w:left="210" w:leftChars="0" w:firstLine="0" w:firstLineChars="0"/>
        <w:jc w:val="left"/>
        <w:rPr>
          <w:rFonts w:ascii="仿宋_GB2312" w:hAnsi="仿宋_GB2312" w:eastAsia="仿宋_GB2312" w:cs="仿宋_GB2312"/>
          <w:b w:val="0"/>
          <w:bCs w:val="0"/>
          <w:kern w:val="0"/>
          <w:sz w:val="27"/>
          <w:szCs w:val="27"/>
        </w:rPr>
      </w:pPr>
      <w:r>
        <w:rPr>
          <w:rFonts w:ascii="仿宋_GB2312" w:hAnsi="仿宋_GB2312" w:eastAsia="仿宋_GB2312" w:cs="仿宋_GB2312"/>
          <w:b w:val="0"/>
          <w:bCs w:val="0"/>
          <w:kern w:val="0"/>
          <w:sz w:val="27"/>
          <w:szCs w:val="27"/>
        </w:rPr>
        <w:t>差旅费支出情况：可进行上下年对比，人均支出情况分析（可做表、柱图、折线图）。</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1"/>
        <w:gridCol w:w="1991"/>
        <w:gridCol w:w="1991"/>
        <w:gridCol w:w="1991"/>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tcPr>
          <w:p>
            <w:pPr>
              <w:widowControl/>
              <w:spacing w:before="240" w:after="240"/>
              <w:jc w:val="left"/>
              <w:rPr>
                <w:rFonts w:hint="eastAsia" w:ascii="仿宋_GB2312" w:hAnsi="仿宋_GB2312" w:eastAsia="仿宋_GB2312" w:cs="仿宋_GB2312"/>
                <w:b w:val="0"/>
                <w:bCs w:val="0"/>
                <w:kern w:val="0"/>
                <w:sz w:val="27"/>
                <w:szCs w:val="27"/>
                <w:vertAlign w:val="baseline"/>
                <w:lang w:eastAsia="zh-CN"/>
              </w:rPr>
            </w:pPr>
            <w:r>
              <w:rPr>
                <w:rFonts w:hint="eastAsia" w:ascii="仿宋_GB2312" w:hAnsi="仿宋_GB2312" w:eastAsia="仿宋_GB2312" w:cs="仿宋_GB2312"/>
                <w:b w:val="0"/>
                <w:bCs w:val="0"/>
                <w:kern w:val="0"/>
                <w:sz w:val="27"/>
                <w:szCs w:val="27"/>
                <w:vertAlign w:val="baseline"/>
                <w:lang w:eastAsia="zh-CN"/>
              </w:rPr>
              <w:t>指标</w:t>
            </w:r>
          </w:p>
        </w:tc>
        <w:tc>
          <w:tcPr>
            <w:tcW w:w="1991" w:type="dxa"/>
          </w:tcPr>
          <w:p>
            <w:pPr>
              <w:widowControl/>
              <w:spacing w:before="240" w:after="240"/>
              <w:jc w:val="left"/>
              <w:rPr>
                <w:rFonts w:hint="default" w:ascii="仿宋_GB2312" w:hAnsi="仿宋_GB2312" w:eastAsia="仿宋_GB2312" w:cs="仿宋_GB2312"/>
                <w:b w:val="0"/>
                <w:bCs w:val="0"/>
                <w:kern w:val="0"/>
                <w:sz w:val="27"/>
                <w:szCs w:val="27"/>
                <w:vertAlign w:val="baseline"/>
                <w:lang w:val="en-US" w:eastAsia="zh-CN"/>
              </w:rPr>
            </w:pPr>
            <w:r>
              <w:rPr>
                <w:rFonts w:hint="eastAsia" w:ascii="仿宋_GB2312" w:hAnsi="仿宋_GB2312" w:eastAsia="仿宋_GB2312" w:cs="仿宋_GB2312"/>
                <w:b w:val="0"/>
                <w:bCs w:val="0"/>
                <w:kern w:val="0"/>
                <w:sz w:val="27"/>
                <w:szCs w:val="27"/>
                <w:vertAlign w:val="baseline"/>
                <w:lang w:eastAsia="zh-CN"/>
              </w:rPr>
              <w:t>本年度</w:t>
            </w:r>
          </w:p>
        </w:tc>
        <w:tc>
          <w:tcPr>
            <w:tcW w:w="1991" w:type="dxa"/>
          </w:tcPr>
          <w:p>
            <w:pPr>
              <w:widowControl/>
              <w:spacing w:before="240" w:after="240"/>
              <w:jc w:val="left"/>
              <w:rPr>
                <w:rFonts w:hint="eastAsia" w:ascii="仿宋_GB2312" w:hAnsi="仿宋_GB2312" w:eastAsia="仿宋_GB2312" w:cs="仿宋_GB2312"/>
                <w:b w:val="0"/>
                <w:bCs w:val="0"/>
                <w:kern w:val="0"/>
                <w:sz w:val="27"/>
                <w:szCs w:val="27"/>
                <w:vertAlign w:val="baseline"/>
                <w:lang w:eastAsia="zh-CN"/>
              </w:rPr>
            </w:pPr>
            <w:r>
              <w:rPr>
                <w:rFonts w:hint="eastAsia" w:ascii="仿宋_GB2312" w:hAnsi="仿宋_GB2312" w:eastAsia="仿宋_GB2312" w:cs="仿宋_GB2312"/>
                <w:b w:val="0"/>
                <w:bCs w:val="0"/>
                <w:kern w:val="0"/>
                <w:sz w:val="27"/>
                <w:szCs w:val="27"/>
                <w:vertAlign w:val="baseline"/>
                <w:lang w:eastAsia="zh-CN"/>
              </w:rPr>
              <w:t>上年度</w:t>
            </w:r>
          </w:p>
        </w:tc>
        <w:tc>
          <w:tcPr>
            <w:tcW w:w="1991" w:type="dxa"/>
          </w:tcPr>
          <w:p>
            <w:pPr>
              <w:widowControl/>
              <w:spacing w:before="240" w:after="240"/>
              <w:jc w:val="left"/>
              <w:rPr>
                <w:rFonts w:hint="eastAsia" w:ascii="仿宋_GB2312" w:hAnsi="仿宋_GB2312" w:eastAsia="仿宋_GB2312" w:cs="仿宋_GB2312"/>
                <w:b w:val="0"/>
                <w:bCs w:val="0"/>
                <w:kern w:val="0"/>
                <w:sz w:val="27"/>
                <w:szCs w:val="27"/>
                <w:vertAlign w:val="baseline"/>
                <w:lang w:eastAsia="zh-CN"/>
              </w:rPr>
            </w:pPr>
            <w:r>
              <w:rPr>
                <w:rFonts w:hint="eastAsia" w:ascii="仿宋_GB2312" w:hAnsi="仿宋_GB2312" w:eastAsia="仿宋_GB2312" w:cs="仿宋_GB2312"/>
                <w:b w:val="0"/>
                <w:bCs w:val="0"/>
                <w:kern w:val="0"/>
                <w:sz w:val="27"/>
                <w:szCs w:val="27"/>
                <w:vertAlign w:val="baseline"/>
                <w:lang w:eastAsia="zh-CN"/>
              </w:rPr>
              <w:t>比上年增减</w:t>
            </w:r>
          </w:p>
        </w:tc>
        <w:tc>
          <w:tcPr>
            <w:tcW w:w="1992" w:type="dxa"/>
          </w:tcPr>
          <w:p>
            <w:pPr>
              <w:widowControl/>
              <w:spacing w:before="240" w:after="240"/>
              <w:jc w:val="left"/>
              <w:rPr>
                <w:rFonts w:hint="default" w:ascii="仿宋_GB2312" w:hAnsi="仿宋_GB2312" w:eastAsia="仿宋_GB2312" w:cs="仿宋_GB2312"/>
                <w:b w:val="0"/>
                <w:bCs w:val="0"/>
                <w:kern w:val="0"/>
                <w:sz w:val="27"/>
                <w:szCs w:val="27"/>
                <w:vertAlign w:val="baseline"/>
                <w:lang w:val="en-US" w:eastAsia="zh-CN"/>
              </w:rPr>
            </w:pPr>
            <w:r>
              <w:rPr>
                <w:rFonts w:hint="eastAsia" w:ascii="仿宋_GB2312" w:hAnsi="仿宋_GB2312" w:eastAsia="仿宋_GB2312" w:cs="仿宋_GB2312"/>
                <w:b w:val="0"/>
                <w:bCs w:val="0"/>
                <w:kern w:val="0"/>
                <w:sz w:val="27"/>
                <w:szCs w:val="27"/>
                <w:vertAlign w:val="baseline"/>
                <w:lang w:val="en-US" w:eastAsia="zh-CN"/>
              </w:rPr>
              <w:t>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tcPr>
          <w:p>
            <w:pPr>
              <w:widowControl/>
              <w:spacing w:before="240" w:after="240"/>
              <w:jc w:val="left"/>
              <w:rPr>
                <w:rFonts w:hint="eastAsia" w:ascii="仿宋_GB2312" w:hAnsi="仿宋_GB2312" w:eastAsia="仿宋_GB2312" w:cs="仿宋_GB2312"/>
                <w:b w:val="0"/>
                <w:bCs w:val="0"/>
                <w:kern w:val="0"/>
                <w:sz w:val="27"/>
                <w:szCs w:val="27"/>
                <w:vertAlign w:val="baseline"/>
                <w:lang w:eastAsia="zh-CN"/>
              </w:rPr>
            </w:pPr>
            <w:r>
              <w:rPr>
                <w:rFonts w:hint="eastAsia" w:ascii="仿宋_GB2312" w:hAnsi="仿宋_GB2312" w:eastAsia="仿宋_GB2312" w:cs="仿宋_GB2312"/>
                <w:b w:val="0"/>
                <w:bCs w:val="0"/>
                <w:kern w:val="0"/>
                <w:sz w:val="27"/>
                <w:szCs w:val="27"/>
                <w:vertAlign w:val="baseline"/>
                <w:lang w:eastAsia="zh-CN"/>
              </w:rPr>
              <w:t>差旅费</w:t>
            </w:r>
          </w:p>
        </w:tc>
        <w:tc>
          <w:tcPr>
            <w:tcW w:w="1991" w:type="dxa"/>
          </w:tcPr>
          <w:p>
            <w:pPr>
              <w:widowControl/>
              <w:spacing w:before="240" w:after="240"/>
              <w:jc w:val="left"/>
              <w:rPr>
                <w:rFonts w:hint="default" w:ascii="仿宋_GB2312" w:hAnsi="仿宋_GB2312" w:eastAsia="仿宋_GB2312" w:cs="仿宋_GB2312"/>
                <w:b w:val="0"/>
                <w:bCs w:val="0"/>
                <w:kern w:val="0"/>
                <w:sz w:val="27"/>
                <w:szCs w:val="27"/>
                <w:vertAlign w:val="baseline"/>
                <w:lang w:val="en-US" w:eastAsia="zh-CN"/>
              </w:rPr>
            </w:pPr>
            <w:r>
              <w:rPr>
                <w:rFonts w:hint="eastAsia" w:ascii="仿宋_GB2312" w:hAnsi="仿宋_GB2312" w:eastAsia="仿宋_GB2312" w:cs="仿宋_GB2312"/>
                <w:b w:val="0"/>
                <w:bCs w:val="0"/>
                <w:kern w:val="0"/>
                <w:sz w:val="27"/>
                <w:szCs w:val="27"/>
                <w:vertAlign w:val="baseline"/>
                <w:lang w:val="en-US" w:eastAsia="zh-CN"/>
              </w:rPr>
              <w:t>395421.00元</w:t>
            </w:r>
          </w:p>
        </w:tc>
        <w:tc>
          <w:tcPr>
            <w:tcW w:w="1991" w:type="dxa"/>
          </w:tcPr>
          <w:p>
            <w:pPr>
              <w:widowControl/>
              <w:spacing w:before="240" w:after="240"/>
              <w:jc w:val="left"/>
              <w:rPr>
                <w:rFonts w:hint="default" w:ascii="仿宋_GB2312" w:hAnsi="仿宋_GB2312" w:eastAsia="仿宋_GB2312" w:cs="仿宋_GB2312"/>
                <w:b w:val="0"/>
                <w:bCs w:val="0"/>
                <w:kern w:val="0"/>
                <w:sz w:val="27"/>
                <w:szCs w:val="27"/>
                <w:vertAlign w:val="baseline"/>
                <w:lang w:val="en-US" w:eastAsia="zh-CN"/>
              </w:rPr>
            </w:pPr>
            <w:r>
              <w:rPr>
                <w:rFonts w:hint="eastAsia" w:ascii="仿宋_GB2312" w:hAnsi="仿宋_GB2312" w:eastAsia="仿宋_GB2312" w:cs="仿宋_GB2312"/>
                <w:b w:val="0"/>
                <w:bCs w:val="0"/>
                <w:kern w:val="0"/>
                <w:sz w:val="27"/>
                <w:szCs w:val="27"/>
                <w:vertAlign w:val="baseline"/>
                <w:lang w:val="en-US" w:eastAsia="zh-CN"/>
              </w:rPr>
              <w:t>440203.19元</w:t>
            </w:r>
          </w:p>
        </w:tc>
        <w:tc>
          <w:tcPr>
            <w:tcW w:w="1991" w:type="dxa"/>
          </w:tcPr>
          <w:p>
            <w:pPr>
              <w:widowControl/>
              <w:spacing w:before="240" w:after="240"/>
              <w:jc w:val="left"/>
              <w:rPr>
                <w:rFonts w:hint="default" w:ascii="仿宋_GB2312" w:hAnsi="仿宋_GB2312" w:eastAsia="仿宋_GB2312" w:cs="仿宋_GB2312"/>
                <w:b w:val="0"/>
                <w:bCs w:val="0"/>
                <w:kern w:val="0"/>
                <w:sz w:val="27"/>
                <w:szCs w:val="27"/>
                <w:vertAlign w:val="baseline"/>
                <w:lang w:val="en-US" w:eastAsia="zh-CN"/>
              </w:rPr>
            </w:pPr>
            <w:r>
              <w:rPr>
                <w:rFonts w:hint="eastAsia" w:ascii="仿宋_GB2312" w:hAnsi="仿宋_GB2312" w:eastAsia="仿宋_GB2312" w:cs="仿宋_GB2312"/>
                <w:b w:val="0"/>
                <w:bCs w:val="0"/>
                <w:kern w:val="0"/>
                <w:sz w:val="27"/>
                <w:szCs w:val="27"/>
                <w:vertAlign w:val="baseline"/>
                <w:lang w:val="en-US" w:eastAsia="zh-CN"/>
              </w:rPr>
              <w:t>44782.19元</w:t>
            </w:r>
          </w:p>
        </w:tc>
        <w:tc>
          <w:tcPr>
            <w:tcW w:w="1992" w:type="dxa"/>
          </w:tcPr>
          <w:p>
            <w:pPr>
              <w:widowControl/>
              <w:spacing w:before="240" w:after="240"/>
              <w:jc w:val="left"/>
              <w:rPr>
                <w:rFonts w:hint="default" w:ascii="仿宋_GB2312" w:hAnsi="仿宋_GB2312" w:eastAsia="仿宋_GB2312" w:cs="仿宋_GB2312"/>
                <w:b w:val="0"/>
                <w:bCs w:val="0"/>
                <w:kern w:val="0"/>
                <w:sz w:val="27"/>
                <w:szCs w:val="27"/>
                <w:vertAlign w:val="baseline"/>
                <w:lang w:val="en-US" w:eastAsia="zh-CN"/>
              </w:rPr>
            </w:pPr>
            <w:r>
              <w:rPr>
                <w:rFonts w:hint="eastAsia" w:ascii="仿宋_GB2312" w:hAnsi="仿宋_GB2312" w:eastAsia="仿宋_GB2312" w:cs="仿宋_GB2312"/>
                <w:b w:val="0"/>
                <w:bCs w:val="0"/>
                <w:kern w:val="0"/>
                <w:sz w:val="27"/>
                <w:szCs w:val="27"/>
                <w:vertAlign w:val="baseline"/>
                <w:lang w:val="en-US" w:eastAsia="zh-CN"/>
              </w:rPr>
              <w:t>10.17%</w:t>
            </w:r>
          </w:p>
        </w:tc>
      </w:tr>
    </w:tbl>
    <w:p>
      <w:pPr>
        <w:widowControl/>
        <w:numPr>
          <w:numId w:val="0"/>
        </w:numPr>
        <w:spacing w:before="240" w:after="240"/>
        <w:ind w:left="210" w:leftChars="0"/>
        <w:jc w:val="left"/>
        <w:rPr>
          <w:rFonts w:hint="eastAsia" w:ascii="仿宋_GB2312" w:hAnsi="仿宋_GB2312" w:eastAsia="仿宋_GB2312" w:cs="仿宋_GB2312"/>
          <w:b w:val="0"/>
          <w:bCs w:val="0"/>
          <w:kern w:val="0"/>
          <w:sz w:val="27"/>
          <w:szCs w:val="27"/>
          <w:lang w:eastAsia="zh-CN"/>
        </w:rPr>
      </w:pPr>
      <w:r>
        <w:rPr>
          <w:rFonts w:hint="eastAsia" w:ascii="仿宋_GB2312" w:hAnsi="仿宋_GB2312" w:eastAsia="仿宋_GB2312" w:cs="仿宋_GB2312"/>
          <w:b w:val="0"/>
          <w:bCs w:val="0"/>
          <w:kern w:val="0"/>
          <w:sz w:val="27"/>
          <w:szCs w:val="27"/>
          <w:lang w:eastAsia="zh-CN"/>
        </w:rPr>
        <w:t>出差人次减少</w:t>
      </w:r>
    </w:p>
    <w:p>
      <w:pPr>
        <w:widowControl/>
        <w:numPr>
          <w:ilvl w:val="0"/>
          <w:numId w:val="1"/>
        </w:numPr>
        <w:spacing w:before="240" w:after="240"/>
        <w:ind w:left="210" w:leftChars="0" w:firstLine="0" w:firstLineChars="0"/>
        <w:jc w:val="left"/>
        <w:rPr>
          <w:rFonts w:ascii="仿宋_GB2312" w:hAnsi="仿宋_GB2312" w:eastAsia="仿宋_GB2312" w:cs="仿宋_GB2312"/>
          <w:b w:val="0"/>
          <w:bCs w:val="0"/>
          <w:kern w:val="0"/>
          <w:sz w:val="27"/>
          <w:szCs w:val="27"/>
        </w:rPr>
      </w:pPr>
      <w:r>
        <w:rPr>
          <w:rFonts w:ascii="仿宋_GB2312" w:hAnsi="仿宋_GB2312" w:eastAsia="仿宋_GB2312" w:cs="仿宋_GB2312"/>
          <w:b w:val="0"/>
          <w:bCs w:val="0"/>
          <w:kern w:val="0"/>
          <w:sz w:val="27"/>
          <w:szCs w:val="27"/>
        </w:rPr>
        <w:t>其他对单位影响较大的支出情况。</w:t>
      </w:r>
    </w:p>
    <w:p>
      <w:pPr>
        <w:widowControl/>
        <w:numPr>
          <w:numId w:val="0"/>
        </w:numPr>
        <w:spacing w:before="240" w:after="240"/>
        <w:ind w:left="210" w:leftChars="0"/>
        <w:jc w:val="left"/>
        <w:rPr>
          <w:rFonts w:ascii="仿宋_GB2312" w:hAnsi="仿宋_GB2312" w:eastAsia="仿宋_GB2312" w:cs="仿宋_GB2312"/>
          <w:b w:val="0"/>
          <w:bCs w:val="0"/>
          <w:kern w:val="0"/>
          <w:sz w:val="27"/>
          <w:szCs w:val="27"/>
        </w:rPr>
      </w:pPr>
      <w:r>
        <w:rPr>
          <w:rFonts w:hint="eastAsia" w:ascii="仿宋_GB2312" w:hAnsi="仿宋_GB2312" w:eastAsia="仿宋_GB2312" w:cs="仿宋_GB2312"/>
          <w:b w:val="0"/>
          <w:bCs w:val="0"/>
          <w:kern w:val="0"/>
          <w:sz w:val="27"/>
          <w:szCs w:val="27"/>
          <w:lang w:eastAsia="zh-CN"/>
        </w:rPr>
        <w:t>无</w:t>
      </w:r>
      <w:r>
        <w:rPr>
          <w:rFonts w:ascii="仿宋_GB2312" w:hAnsi="仿宋_GB2312" w:eastAsia="仿宋_GB2312" w:cs="仿宋_GB2312"/>
          <w:b w:val="0"/>
          <w:bCs w:val="0"/>
          <w:kern w:val="0"/>
          <w:sz w:val="27"/>
          <w:szCs w:val="27"/>
        </w:rPr>
        <w:t>其他对单位影响较大的支出</w:t>
      </w:r>
    </w:p>
    <w:p>
      <w:pPr>
        <w:widowControl/>
        <w:numPr>
          <w:ilvl w:val="0"/>
          <w:numId w:val="1"/>
        </w:numPr>
        <w:spacing w:before="240" w:after="240"/>
        <w:ind w:left="210" w:leftChars="0" w:firstLine="0" w:firstLineChars="0"/>
        <w:jc w:val="left"/>
        <w:rPr>
          <w:rFonts w:ascii="仿宋_GB2312" w:hAnsi="仿宋_GB2312" w:eastAsia="仿宋_GB2312" w:cs="仿宋_GB2312"/>
          <w:b w:val="0"/>
          <w:bCs w:val="0"/>
          <w:kern w:val="0"/>
          <w:sz w:val="27"/>
          <w:szCs w:val="27"/>
        </w:rPr>
      </w:pPr>
      <w:r>
        <w:rPr>
          <w:rFonts w:ascii="仿宋_GB2312" w:hAnsi="仿宋_GB2312" w:eastAsia="仿宋_GB2312" w:cs="仿宋_GB2312"/>
          <w:b w:val="0"/>
          <w:bCs w:val="0"/>
          <w:kern w:val="0"/>
          <w:sz w:val="27"/>
          <w:szCs w:val="27"/>
        </w:rPr>
        <w:t>重点经济分类支出中存在的问题及改进措施。</w:t>
      </w:r>
    </w:p>
    <w:p>
      <w:pPr>
        <w:widowControl/>
        <w:numPr>
          <w:numId w:val="0"/>
        </w:numPr>
        <w:spacing w:before="240" w:after="240"/>
        <w:ind w:left="210" w:leftChars="0"/>
        <w:jc w:val="left"/>
        <w:rPr>
          <w:rFonts w:ascii="仿宋_GB2312" w:hAnsi="仿宋_GB2312" w:eastAsia="仿宋_GB2312" w:cs="仿宋_GB2312"/>
          <w:b w:val="0"/>
          <w:bCs w:val="0"/>
          <w:kern w:val="0"/>
          <w:sz w:val="27"/>
          <w:szCs w:val="27"/>
        </w:rPr>
      </w:pPr>
      <w:r>
        <w:rPr>
          <w:rFonts w:hint="eastAsia" w:ascii="仿宋_GB2312" w:hAnsi="仿宋_GB2312" w:eastAsia="仿宋_GB2312" w:cs="仿宋_GB2312"/>
          <w:b w:val="0"/>
          <w:bCs w:val="0"/>
          <w:kern w:val="0"/>
          <w:sz w:val="27"/>
          <w:szCs w:val="27"/>
        </w:rPr>
        <w:t>无重点经济分类支出中存在的问题。</w:t>
      </w:r>
    </w:p>
    <w:p>
      <w:pPr>
        <w:widowControl/>
        <w:spacing w:before="240" w:after="240"/>
        <w:jc w:val="left"/>
        <w:rPr>
          <w:rFonts w:ascii="Times New Roman" w:hAnsi="Times New Roman" w:eastAsia="Times New Roman" w:cs="Times New Roman"/>
          <w:b w:val="0"/>
          <w:bCs w:val="0"/>
          <w:kern w:val="0"/>
          <w:sz w:val="24"/>
        </w:rPr>
      </w:pPr>
      <w:r>
        <w:rPr>
          <w:rFonts w:ascii="仿宋_GB2312" w:hAnsi="仿宋_GB2312" w:eastAsia="仿宋_GB2312" w:cs="仿宋_GB2312"/>
          <w:kern w:val="0"/>
          <w:sz w:val="27"/>
          <w:szCs w:val="27"/>
        </w:rPr>
        <w:t> </w:t>
      </w:r>
    </w:p>
    <w:p>
      <w:pPr>
        <w:pStyle w:val="4"/>
        <w:keepNext w:val="0"/>
        <w:keepLines w:val="0"/>
        <w:widowControl/>
        <w:spacing w:before="281" w:after="281" w:line="240" w:lineRule="auto"/>
        <w:jc w:val="left"/>
        <w:rPr>
          <w:rFonts w:ascii="Times New Roman" w:hAnsi="Times New Roman" w:eastAsia="Times New Roman" w:cs="Times New Roman"/>
          <w:b/>
          <w:bCs/>
          <w:kern w:val="0"/>
          <w:sz w:val="28"/>
          <w:szCs w:val="28"/>
        </w:rPr>
      </w:pPr>
      <w:r>
        <w:rPr>
          <w:rFonts w:ascii="Times New Roman" w:hAnsi="Times New Roman" w:eastAsia="Times New Roman" w:cs="Times New Roman"/>
          <w:kern w:val="0"/>
          <w:sz w:val="28"/>
          <w:szCs w:val="28"/>
        </w:rPr>
        <w:t> </w:t>
      </w:r>
      <w:r>
        <w:rPr>
          <w:rFonts w:ascii="Calibri" w:hAnsi="Calibri" w:eastAsia="Calibri" w:cs="Calibri"/>
          <w:kern w:val="0"/>
          <w:sz w:val="27"/>
          <w:szCs w:val="27"/>
        </w:rPr>
        <w:t> </w:t>
      </w:r>
      <w:r>
        <w:rPr>
          <w:rFonts w:ascii="黑体" w:hAnsi="黑体" w:eastAsia="黑体" w:cs="黑体"/>
          <w:kern w:val="0"/>
          <w:sz w:val="27"/>
          <w:szCs w:val="27"/>
        </w:rPr>
        <w:t xml:space="preserve"> </w:t>
      </w:r>
      <w:r>
        <w:rPr>
          <w:rFonts w:ascii="Calibri" w:hAnsi="Calibri" w:eastAsia="Calibri" w:cs="Calibri"/>
          <w:kern w:val="0"/>
          <w:sz w:val="27"/>
          <w:szCs w:val="27"/>
        </w:rPr>
        <w:t> </w:t>
      </w:r>
      <w:r>
        <w:rPr>
          <w:rFonts w:ascii="黑体" w:hAnsi="黑体" w:eastAsia="黑体" w:cs="黑体"/>
          <w:kern w:val="0"/>
          <w:sz w:val="27"/>
          <w:szCs w:val="27"/>
        </w:rPr>
        <w:t xml:space="preserve"> </w:t>
      </w:r>
      <w:r>
        <w:rPr>
          <w:rFonts w:ascii="Calibri" w:hAnsi="Calibri" w:eastAsia="Calibri" w:cs="Calibri"/>
          <w:kern w:val="0"/>
          <w:sz w:val="27"/>
          <w:szCs w:val="27"/>
        </w:rPr>
        <w:t> </w:t>
      </w:r>
      <w:r>
        <w:rPr>
          <w:rFonts w:ascii="黑体" w:hAnsi="黑体" w:eastAsia="黑体" w:cs="黑体"/>
          <w:kern w:val="0"/>
          <w:sz w:val="27"/>
          <w:szCs w:val="27"/>
        </w:rPr>
        <w:t>（三）年末结转和结余情况。</w:t>
      </w:r>
    </w:p>
    <w:p>
      <w:pPr>
        <w:pStyle w:val="5"/>
        <w:keepNext w:val="0"/>
        <w:keepLines w:val="0"/>
        <w:widowControl/>
        <w:spacing w:before="319" w:after="319" w:line="240" w:lineRule="auto"/>
        <w:jc w:val="left"/>
        <w:rPr>
          <w:rFonts w:ascii="Times New Roman" w:hAnsi="Times New Roman" w:eastAsia="Times New Roman" w:cs="Times New Roman"/>
          <w:b/>
          <w:bCs/>
          <w:kern w:val="0"/>
          <w:sz w:val="24"/>
        </w:rPr>
      </w:pPr>
      <w:r>
        <w:rPr>
          <w:rFonts w:ascii="仿宋_GB2312" w:hAnsi="仿宋_GB2312" w:eastAsia="仿宋_GB2312" w:cs="仿宋_GB2312"/>
          <w:kern w:val="0"/>
          <w:sz w:val="27"/>
          <w:szCs w:val="27"/>
        </w:rPr>
        <w:t>     </w:t>
      </w:r>
      <w:r>
        <w:rPr>
          <w:rFonts w:ascii="Calibri" w:hAnsi="Calibri" w:eastAsia="Calibri" w:cs="Calibri"/>
          <w:kern w:val="0"/>
          <w:sz w:val="27"/>
          <w:szCs w:val="27"/>
        </w:rPr>
        <w:t> </w:t>
      </w:r>
      <w:r>
        <w:rPr>
          <w:rFonts w:ascii="黑体" w:hAnsi="黑体" w:eastAsia="黑体" w:cs="黑体"/>
          <w:kern w:val="0"/>
          <w:sz w:val="27"/>
          <w:szCs w:val="27"/>
        </w:rPr>
        <w:t>1.财政拨款结转和结余</w:t>
      </w:r>
    </w:p>
    <w:p>
      <w:pPr>
        <w:widowControl/>
        <w:spacing w:before="240" w:after="240"/>
        <w:jc w:val="left"/>
        <w:rPr>
          <w:rFonts w:ascii="仿宋_GB2312" w:hAnsi="仿宋_GB2312" w:eastAsia="仿宋_GB2312" w:cs="仿宋_GB2312"/>
          <w:kern w:val="0"/>
          <w:sz w:val="27"/>
          <w:szCs w:val="27"/>
        </w:rPr>
      </w:pPr>
      <w:r>
        <w:rPr>
          <w:rFonts w:ascii="仿宋_GB2312" w:hAnsi="仿宋_GB2312" w:eastAsia="仿宋_GB2312" w:cs="仿宋_GB2312"/>
          <w:kern w:val="0"/>
          <w:sz w:val="27"/>
          <w:szCs w:val="27"/>
        </w:rPr>
        <w:t>     （1）根据部门决算主表报表项目中财政拨款结转结余分析总体情况以及上下年对比情况。按照资金来源、资金性质和功能分类分析，分别分析基本支出、项目支出结转和结余情况。</w:t>
      </w:r>
    </w:p>
    <w:p>
      <w:pPr>
        <w:widowControl/>
        <w:pBdr>
          <w:left w:val="none" w:color="auto" w:sz="0" w:space="30"/>
        </w:pBdr>
        <w:spacing w:before="240" w:after="240"/>
        <w:ind w:left="600"/>
        <w:jc w:val="left"/>
        <w:rPr>
          <w:rFonts w:ascii="Times New Roman" w:hAnsi="Times New Roman" w:eastAsia="Times New Roman" w:cs="Times New Roman"/>
          <w:kern w:val="0"/>
          <w:sz w:val="24"/>
          <w:szCs w:val="24"/>
        </w:rPr>
      </w:pPr>
      <w:r>
        <w:rPr>
          <w:rFonts w:ascii="宋体" w:hAnsi="宋体" w:eastAsia="宋体" w:cs="宋体"/>
          <w:kern w:val="0"/>
          <w:sz w:val="24"/>
          <w:szCs w:val="24"/>
        </w:rPr>
        <w:t>无结转和结余。</w:t>
      </w:r>
    </w:p>
    <w:p>
      <w:pPr>
        <w:widowControl/>
        <w:spacing w:before="240" w:after="240"/>
        <w:jc w:val="left"/>
        <w:rPr>
          <w:rFonts w:ascii="仿宋_GB2312" w:hAnsi="仿宋_GB2312" w:eastAsia="仿宋_GB2312" w:cs="仿宋_GB2312"/>
          <w:kern w:val="0"/>
          <w:sz w:val="27"/>
          <w:szCs w:val="27"/>
        </w:rPr>
      </w:pPr>
    </w:p>
    <w:p>
      <w:pPr>
        <w:widowControl/>
        <w:numPr>
          <w:ilvl w:val="0"/>
          <w:numId w:val="2"/>
        </w:numPr>
        <w:spacing w:before="240" w:after="240"/>
        <w:ind w:left="495" w:leftChars="0" w:firstLine="0" w:firstLineChars="0"/>
        <w:jc w:val="left"/>
        <w:rPr>
          <w:rFonts w:ascii="仿宋_GB2312" w:hAnsi="仿宋_GB2312" w:eastAsia="仿宋_GB2312" w:cs="仿宋_GB2312"/>
          <w:spacing w:val="0"/>
          <w:kern w:val="0"/>
          <w:sz w:val="27"/>
          <w:szCs w:val="27"/>
        </w:rPr>
      </w:pPr>
      <w:r>
        <w:rPr>
          <w:rFonts w:ascii="仿宋_GB2312" w:hAnsi="仿宋_GB2312" w:eastAsia="仿宋_GB2312" w:cs="仿宋_GB2312"/>
          <w:spacing w:val="0"/>
          <w:kern w:val="0"/>
          <w:sz w:val="27"/>
          <w:szCs w:val="27"/>
        </w:rPr>
        <w:t>消化结转和结余的对策。</w:t>
      </w:r>
    </w:p>
    <w:p>
      <w:pPr>
        <w:widowControl/>
        <w:pBdr>
          <w:left w:val="none" w:color="auto" w:sz="0" w:space="30"/>
        </w:pBdr>
        <w:spacing w:before="240" w:after="240"/>
        <w:ind w:left="600"/>
        <w:jc w:val="left"/>
        <w:rPr>
          <w:rFonts w:ascii="Times New Roman" w:hAnsi="Times New Roman" w:eastAsia="Times New Roman" w:cs="Times New Roman"/>
          <w:kern w:val="0"/>
          <w:sz w:val="24"/>
          <w:szCs w:val="24"/>
        </w:rPr>
      </w:pPr>
      <w:r>
        <w:rPr>
          <w:rFonts w:ascii="宋体" w:hAnsi="宋体" w:eastAsia="宋体" w:cs="宋体"/>
          <w:kern w:val="0"/>
          <w:sz w:val="24"/>
          <w:szCs w:val="24"/>
        </w:rPr>
        <w:t>无结转和结余。</w:t>
      </w:r>
    </w:p>
    <w:p>
      <w:pPr>
        <w:widowControl/>
        <w:numPr>
          <w:numId w:val="0"/>
        </w:numPr>
        <w:spacing w:before="240" w:after="240"/>
        <w:ind w:left="495" w:leftChars="0"/>
        <w:jc w:val="left"/>
        <w:rPr>
          <w:rFonts w:ascii="仿宋_GB2312" w:hAnsi="仿宋_GB2312" w:eastAsia="仿宋_GB2312" w:cs="仿宋_GB2312"/>
          <w:spacing w:val="0"/>
          <w:kern w:val="0"/>
          <w:sz w:val="27"/>
          <w:szCs w:val="27"/>
        </w:rPr>
      </w:pPr>
    </w:p>
    <w:p>
      <w:pPr>
        <w:pStyle w:val="5"/>
        <w:keepNext w:val="0"/>
        <w:keepLines w:val="0"/>
        <w:widowControl/>
        <w:spacing w:before="319" w:after="319" w:line="240" w:lineRule="auto"/>
        <w:jc w:val="left"/>
        <w:rPr>
          <w:rFonts w:ascii="Times New Roman" w:hAnsi="Times New Roman" w:eastAsia="Times New Roman" w:cs="Times New Roman"/>
          <w:b/>
          <w:bCs/>
          <w:kern w:val="0"/>
          <w:sz w:val="24"/>
        </w:rPr>
      </w:pPr>
      <w:r>
        <w:rPr>
          <w:rFonts w:ascii="Calibri" w:hAnsi="Calibri" w:eastAsia="Calibri" w:cs="Calibri"/>
          <w:kern w:val="0"/>
          <w:sz w:val="27"/>
          <w:szCs w:val="27"/>
        </w:rPr>
        <w:t> </w:t>
      </w:r>
      <w:r>
        <w:rPr>
          <w:rFonts w:ascii="黑体" w:hAnsi="黑体" w:eastAsia="黑体" w:cs="黑体"/>
          <w:kern w:val="0"/>
          <w:sz w:val="27"/>
          <w:szCs w:val="27"/>
        </w:rPr>
        <w:t xml:space="preserve"> </w:t>
      </w:r>
      <w:r>
        <w:rPr>
          <w:rFonts w:ascii="Calibri" w:hAnsi="Calibri" w:eastAsia="Calibri" w:cs="Calibri"/>
          <w:kern w:val="0"/>
          <w:sz w:val="27"/>
          <w:szCs w:val="27"/>
        </w:rPr>
        <w:t> </w:t>
      </w:r>
      <w:r>
        <w:rPr>
          <w:rFonts w:ascii="黑体" w:hAnsi="黑体" w:eastAsia="黑体" w:cs="黑体"/>
          <w:kern w:val="0"/>
          <w:sz w:val="27"/>
          <w:szCs w:val="27"/>
        </w:rPr>
        <w:t xml:space="preserve"> </w:t>
      </w:r>
      <w:r>
        <w:rPr>
          <w:rFonts w:ascii="Calibri" w:hAnsi="Calibri" w:eastAsia="Calibri" w:cs="Calibri"/>
          <w:kern w:val="0"/>
          <w:sz w:val="27"/>
          <w:szCs w:val="27"/>
        </w:rPr>
        <w:t> </w:t>
      </w:r>
      <w:r>
        <w:rPr>
          <w:rFonts w:ascii="黑体" w:hAnsi="黑体" w:eastAsia="黑体" w:cs="黑体"/>
          <w:kern w:val="0"/>
          <w:sz w:val="27"/>
          <w:szCs w:val="27"/>
        </w:rPr>
        <w:t xml:space="preserve"> 2.非财政拨款结转和结余</w:t>
      </w:r>
    </w:p>
    <w:p>
      <w:pPr>
        <w:widowControl/>
        <w:spacing w:before="240" w:after="240"/>
        <w:jc w:val="left"/>
        <w:rPr>
          <w:rFonts w:hint="eastAsia" w:ascii="Times New Roman" w:hAnsi="Times New Roman" w:eastAsia="仿宋_GB2312" w:cs="Times New Roman"/>
          <w:kern w:val="0"/>
          <w:sz w:val="24"/>
          <w:lang w:eastAsia="zh-CN"/>
        </w:rPr>
      </w:pPr>
      <w:r>
        <w:rPr>
          <w:rFonts w:ascii="仿宋_GB2312" w:hAnsi="仿宋_GB2312" w:eastAsia="仿宋_GB2312" w:cs="仿宋_GB2312"/>
          <w:kern w:val="0"/>
          <w:sz w:val="27"/>
          <w:szCs w:val="27"/>
        </w:rPr>
        <w:t>     （1）</w:t>
      </w:r>
      <w:r>
        <w:rPr>
          <w:rFonts w:ascii="仿宋_GB2312" w:hAnsi="仿宋_GB2312" w:eastAsia="仿宋_GB2312" w:cs="仿宋_GB2312"/>
          <w:spacing w:val="0"/>
          <w:kern w:val="0"/>
          <w:sz w:val="27"/>
          <w:szCs w:val="27"/>
        </w:rPr>
        <w:t>根据部门决算主表报表项目的非财政拨款结转结余分析总体情况以及上下年对比情况。对年末结转和结余中的“基本支出”、“项目支出结转和结余”按照资金来源、资金性质和支出经济分类科目分析，分别分析非财政拨款基本支出、项目支出结转和结余情况（经营亏损情况需单独说明）。</w:t>
      </w:r>
      <w:r>
        <w:rPr>
          <w:rFonts w:hint="eastAsia" w:ascii="仿宋_GB2312" w:hAnsi="仿宋_GB2312" w:eastAsia="仿宋_GB2312" w:cs="仿宋_GB2312"/>
          <w:spacing w:val="0"/>
          <w:kern w:val="0"/>
          <w:sz w:val="27"/>
          <w:szCs w:val="27"/>
          <w:lang w:eastAsia="zh-CN"/>
        </w:rPr>
        <w:t>无非财政拨款结转和结余</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27"/>
          <w:szCs w:val="27"/>
        </w:rPr>
        <w:t>     （2）根据部门决算附表中非财政拨款结转和结余滚存情况，按照基层单位非财政拨款资金规模、结构、结存状态、上下年变动(超过10%的单位着重分析)及沉淀原因进行分析。</w:t>
      </w:r>
      <w:r>
        <w:rPr>
          <w:rFonts w:hint="eastAsia" w:ascii="仿宋_GB2312" w:hAnsi="仿宋_GB2312" w:eastAsia="仿宋_GB2312" w:cs="仿宋_GB2312"/>
          <w:spacing w:val="0"/>
          <w:kern w:val="0"/>
          <w:sz w:val="27"/>
          <w:szCs w:val="27"/>
          <w:lang w:eastAsia="zh-CN"/>
        </w:rPr>
        <w:t>无非财政拨款结转和结余</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spacing w:val="0"/>
          <w:kern w:val="0"/>
          <w:sz w:val="27"/>
          <w:szCs w:val="27"/>
        </w:rPr>
        <w:t>     （3）消化非财政拨款结转和结余的对策，可结合基层单位所提对策及单位性质提出处置意见，重点研究部门统筹所属单位非财政拨款收入的可行性和统筹非财政拨款与财政拨款支出的有效措施。</w:t>
      </w:r>
      <w:r>
        <w:rPr>
          <w:rFonts w:hint="eastAsia" w:ascii="仿宋_GB2312" w:hAnsi="仿宋_GB2312" w:eastAsia="仿宋_GB2312" w:cs="仿宋_GB2312"/>
          <w:spacing w:val="0"/>
          <w:kern w:val="0"/>
          <w:sz w:val="27"/>
          <w:szCs w:val="27"/>
          <w:lang w:eastAsia="zh-CN"/>
        </w:rPr>
        <w:t>无非财政拨款结转和结余</w:t>
      </w:r>
    </w:p>
    <w:p>
      <w:pPr>
        <w:pStyle w:val="4"/>
        <w:keepNext w:val="0"/>
        <w:keepLines w:val="0"/>
        <w:widowControl/>
        <w:spacing w:before="281" w:after="281" w:line="240" w:lineRule="auto"/>
        <w:jc w:val="left"/>
        <w:rPr>
          <w:rFonts w:ascii="Times New Roman" w:hAnsi="Times New Roman" w:eastAsia="Times New Roman" w:cs="Times New Roman"/>
          <w:b/>
          <w:bCs/>
          <w:kern w:val="0"/>
          <w:sz w:val="28"/>
          <w:szCs w:val="28"/>
        </w:rPr>
      </w:pPr>
      <w:r>
        <w:rPr>
          <w:rFonts w:ascii="Times New Roman" w:hAnsi="Times New Roman" w:eastAsia="Times New Roman" w:cs="Times New Roman"/>
          <w:kern w:val="0"/>
          <w:sz w:val="28"/>
          <w:szCs w:val="28"/>
        </w:rPr>
        <w:t>      </w:t>
      </w:r>
      <w:r>
        <w:rPr>
          <w:rFonts w:ascii="黑体" w:hAnsi="黑体" w:eastAsia="黑体" w:cs="黑体"/>
          <w:kern w:val="0"/>
          <w:sz w:val="27"/>
          <w:szCs w:val="27"/>
        </w:rPr>
        <w:t>（四）与预算支出相关的其他指标分析。</w:t>
      </w:r>
    </w:p>
    <w:p>
      <w:pPr>
        <w:widowControl/>
        <w:spacing w:before="240" w:after="240"/>
        <w:jc w:val="left"/>
        <w:rPr>
          <w:rFonts w:ascii="仿宋_GB2312" w:hAnsi="仿宋_GB2312" w:eastAsia="仿宋_GB2312" w:cs="仿宋_GB2312"/>
          <w:kern w:val="0"/>
          <w:sz w:val="27"/>
          <w:szCs w:val="27"/>
        </w:rPr>
      </w:pPr>
      <w:r>
        <w:rPr>
          <w:rFonts w:ascii="仿宋_GB2312" w:hAnsi="仿宋_GB2312" w:eastAsia="仿宋_GB2312" w:cs="仿宋_GB2312"/>
          <w:kern w:val="0"/>
          <w:sz w:val="27"/>
          <w:szCs w:val="27"/>
        </w:rPr>
        <w:t>      对资产信息、机构人员信息和非税收入征缴信息进行分析，主要分析与上年度对比情况，与本年度预算管理及财务管理对应情况及主要原因等。</w:t>
      </w: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40"/>
        <w:gridCol w:w="591"/>
        <w:gridCol w:w="1434"/>
        <w:gridCol w:w="1434"/>
        <w:gridCol w:w="1247"/>
        <w:gridCol w:w="966"/>
        <w:gridCol w:w="1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06" w:type="pct"/>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编制单位：奈曼旗东明镇人民政府</w:t>
            </w:r>
          </w:p>
        </w:tc>
        <w:tc>
          <w:tcPr>
            <w:tcW w:w="713" w:type="pct"/>
            <w:tcBorders>
              <w:top w:val="nil"/>
              <w:left w:val="nil"/>
              <w:bottom w:val="nil"/>
              <w:right w:val="nil"/>
            </w:tcBorders>
            <w:shd w:val="clear" w:color="auto" w:fill="auto"/>
            <w:noWrap/>
            <w:vAlign w:val="bottom"/>
          </w:tcPr>
          <w:p>
            <w:pPr>
              <w:rPr>
                <w:rFonts w:hint="eastAsia" w:ascii="等线" w:hAnsi="等线" w:eastAsia="等线" w:cs="等线"/>
                <w:i w:val="0"/>
                <w:iCs w:val="0"/>
                <w:color w:val="000000"/>
                <w:sz w:val="22"/>
                <w:szCs w:val="22"/>
                <w:u w:val="none"/>
              </w:rPr>
            </w:pPr>
          </w:p>
        </w:tc>
        <w:tc>
          <w:tcPr>
            <w:tcW w:w="713"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2024年度</w:t>
            </w:r>
          </w:p>
        </w:tc>
        <w:tc>
          <w:tcPr>
            <w:tcW w:w="666" w:type="pct"/>
            <w:tcBorders>
              <w:top w:val="nil"/>
              <w:left w:val="nil"/>
              <w:bottom w:val="nil"/>
              <w:right w:val="nil"/>
            </w:tcBorders>
            <w:shd w:val="clear" w:color="auto" w:fill="auto"/>
            <w:noWrap/>
            <w:vAlign w:val="bottom"/>
          </w:tcPr>
          <w:p>
            <w:pPr>
              <w:rPr>
                <w:rFonts w:hint="default" w:ascii="等线" w:hAnsi="等线" w:eastAsia="等线" w:cs="等线"/>
                <w:i w:val="0"/>
                <w:iCs w:val="0"/>
                <w:color w:val="000000"/>
                <w:sz w:val="22"/>
                <w:szCs w:val="22"/>
                <w:u w:val="none"/>
              </w:rPr>
            </w:pPr>
          </w:p>
        </w:tc>
        <w:tc>
          <w:tcPr>
            <w:tcW w:w="481" w:type="pct"/>
            <w:tcBorders>
              <w:top w:val="nil"/>
              <w:left w:val="nil"/>
              <w:bottom w:val="nil"/>
              <w:right w:val="nil"/>
            </w:tcBorders>
            <w:shd w:val="clear" w:color="auto" w:fill="auto"/>
            <w:noWrap/>
            <w:vAlign w:val="bottom"/>
          </w:tcPr>
          <w:p>
            <w:pPr>
              <w:rPr>
                <w:rFonts w:hint="default" w:ascii="等线" w:hAnsi="等线" w:eastAsia="等线" w:cs="等线"/>
                <w:i w:val="0"/>
                <w:iCs w:val="0"/>
                <w:color w:val="000000"/>
                <w:sz w:val="22"/>
                <w:szCs w:val="22"/>
                <w:u w:val="none"/>
              </w:rPr>
            </w:pPr>
          </w:p>
        </w:tc>
        <w:tc>
          <w:tcPr>
            <w:tcW w:w="718"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    标</w:t>
            </w:r>
          </w:p>
        </w:tc>
        <w:tc>
          <w:tcPr>
            <w:tcW w:w="294"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713"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w:t>
            </w:r>
          </w:p>
        </w:tc>
        <w:tc>
          <w:tcPr>
            <w:tcW w:w="713"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上年度</w:t>
            </w:r>
          </w:p>
        </w:tc>
        <w:tc>
          <w:tcPr>
            <w:tcW w:w="666"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比上年增减</w:t>
            </w:r>
          </w:p>
        </w:tc>
        <w:tc>
          <w:tcPr>
            <w:tcW w:w="481"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增减％</w:t>
            </w:r>
          </w:p>
        </w:tc>
        <w:tc>
          <w:tcPr>
            <w:tcW w:w="718" w:type="pct"/>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9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3"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3"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66"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81"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8"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    次</w:t>
            </w:r>
          </w:p>
        </w:tc>
        <w:tc>
          <w:tcPr>
            <w:tcW w:w="294" w:type="pct"/>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一、年度收支情况（单位：元）</w:t>
            </w:r>
          </w:p>
        </w:tc>
        <w:tc>
          <w:tcPr>
            <w:tcW w:w="2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二、年末资产信息（单位：元）</w:t>
            </w:r>
          </w:p>
        </w:tc>
        <w:tc>
          <w:tcPr>
            <w:tcW w:w="2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1.银行存款</w:t>
            </w:r>
          </w:p>
        </w:tc>
        <w:tc>
          <w:tcPr>
            <w:tcW w:w="2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778,946.17 </w:t>
            </w:r>
          </w:p>
        </w:tc>
        <w:tc>
          <w:tcPr>
            <w:tcW w:w="6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-778,946.17 </w:t>
            </w:r>
          </w:p>
        </w:tc>
        <w:tc>
          <w:tcPr>
            <w:tcW w:w="4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71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应付未付资金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2.房屋</w:t>
            </w:r>
          </w:p>
        </w:tc>
        <w:tc>
          <w:tcPr>
            <w:tcW w:w="2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22,089,252.15 </w:t>
            </w:r>
          </w:p>
        </w:tc>
        <w:tc>
          <w:tcPr>
            <w:tcW w:w="7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21,940,914.13 </w:t>
            </w:r>
          </w:p>
        </w:tc>
        <w:tc>
          <w:tcPr>
            <w:tcW w:w="6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148,338.02 </w:t>
            </w:r>
          </w:p>
        </w:tc>
        <w:tc>
          <w:tcPr>
            <w:tcW w:w="4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1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2024年度有新验收入账的房屋固定资产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3.车辆</w:t>
            </w:r>
          </w:p>
        </w:tc>
        <w:tc>
          <w:tcPr>
            <w:tcW w:w="2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805,370.80 </w:t>
            </w:r>
          </w:p>
        </w:tc>
        <w:tc>
          <w:tcPr>
            <w:tcW w:w="7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81,000.00 </w:t>
            </w:r>
          </w:p>
        </w:tc>
        <w:tc>
          <w:tcPr>
            <w:tcW w:w="6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724,370.80 </w:t>
            </w:r>
          </w:p>
        </w:tc>
        <w:tc>
          <w:tcPr>
            <w:tcW w:w="4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894.00%</w:t>
            </w:r>
          </w:p>
        </w:tc>
        <w:tc>
          <w:tcPr>
            <w:tcW w:w="71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接收上级单位无偿调拨吸污车、垃圾清运车辆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四、补充资料（单位：元）</w:t>
            </w:r>
          </w:p>
        </w:tc>
        <w:tc>
          <w:tcPr>
            <w:tcW w:w="2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7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1.固定资产情况</w:t>
            </w:r>
          </w:p>
        </w:tc>
        <w:tc>
          <w:tcPr>
            <w:tcW w:w="2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房屋面积（平方米）</w:t>
            </w:r>
          </w:p>
        </w:tc>
        <w:tc>
          <w:tcPr>
            <w:tcW w:w="2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7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10,274.67 </w:t>
            </w:r>
          </w:p>
        </w:tc>
        <w:tc>
          <w:tcPr>
            <w:tcW w:w="7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10,094.67 </w:t>
            </w:r>
          </w:p>
        </w:tc>
        <w:tc>
          <w:tcPr>
            <w:tcW w:w="6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 </w:t>
            </w:r>
          </w:p>
        </w:tc>
        <w:tc>
          <w:tcPr>
            <w:tcW w:w="4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71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2024年度有新验收入账的房屋固定资产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车辆数量（辆）</w:t>
            </w:r>
          </w:p>
        </w:tc>
        <w:tc>
          <w:tcPr>
            <w:tcW w:w="2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7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7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6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4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71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接收上级单位无偿调拨吸污车、垃圾清运车辆</w:t>
            </w:r>
          </w:p>
        </w:tc>
      </w:tr>
    </w:tbl>
    <w:p>
      <w:pPr>
        <w:widowControl/>
        <w:spacing w:before="240" w:after="240"/>
        <w:jc w:val="left"/>
        <w:rPr>
          <w:rFonts w:ascii="仿宋_GB2312" w:hAnsi="仿宋_GB2312" w:eastAsia="仿宋_GB2312" w:cs="仿宋_GB2312"/>
          <w:kern w:val="0"/>
          <w:sz w:val="27"/>
          <w:szCs w:val="27"/>
        </w:rPr>
      </w:pPr>
    </w:p>
    <w:p>
      <w:pPr>
        <w:pStyle w:val="4"/>
        <w:keepNext w:val="0"/>
        <w:keepLines w:val="0"/>
        <w:widowControl/>
        <w:spacing w:before="281" w:after="281" w:line="240" w:lineRule="auto"/>
        <w:jc w:val="left"/>
        <w:rPr>
          <w:rFonts w:ascii="Times New Roman" w:hAnsi="Times New Roman" w:eastAsia="Times New Roman" w:cs="Times New Roman"/>
          <w:b/>
          <w:bCs/>
          <w:kern w:val="0"/>
          <w:sz w:val="28"/>
          <w:szCs w:val="28"/>
        </w:rPr>
      </w:pPr>
      <w:r>
        <w:rPr>
          <w:rFonts w:ascii="Times New Roman" w:hAnsi="Times New Roman" w:eastAsia="Times New Roman" w:cs="Times New Roman"/>
          <w:kern w:val="0"/>
          <w:sz w:val="27"/>
          <w:szCs w:val="27"/>
        </w:rPr>
        <w:t>      </w:t>
      </w:r>
      <w:r>
        <w:rPr>
          <w:rFonts w:ascii="黑体" w:hAnsi="黑体" w:eastAsia="黑体" w:cs="黑体"/>
          <w:kern w:val="0"/>
          <w:sz w:val="27"/>
          <w:szCs w:val="27"/>
        </w:rPr>
        <w:t>（五）绩效目标完成情况。</w:t>
      </w:r>
    </w:p>
    <w:p>
      <w:pPr>
        <w:widowControl/>
        <w:spacing w:before="240" w:after="240"/>
        <w:jc w:val="left"/>
        <w:rPr>
          <w:rFonts w:ascii="仿宋_GB2312" w:hAnsi="仿宋_GB2312" w:eastAsia="仿宋_GB2312" w:cs="仿宋_GB2312"/>
          <w:kern w:val="0"/>
          <w:sz w:val="27"/>
          <w:szCs w:val="27"/>
        </w:rPr>
      </w:pPr>
      <w:r>
        <w:rPr>
          <w:rFonts w:ascii="仿宋_GB2312" w:hAnsi="仿宋_GB2312" w:eastAsia="仿宋_GB2312" w:cs="仿宋_GB2312"/>
          <w:kern w:val="0"/>
          <w:sz w:val="27"/>
          <w:szCs w:val="27"/>
        </w:rPr>
        <w:t>      1.概述一级项目和二级项目绩效目标完成情况。</w:t>
      </w:r>
    </w:p>
    <w:p>
      <w:pPr>
        <w:widowControl/>
        <w:spacing w:before="240" w:after="240"/>
        <w:jc w:val="left"/>
        <w:rPr>
          <w:rFonts w:ascii="Times New Roman" w:hAnsi="Times New Roman" w:eastAsia="Times New Roman" w:cs="Times New Roman"/>
          <w:kern w:val="0"/>
          <w:sz w:val="24"/>
          <w:szCs w:val="24"/>
        </w:rPr>
      </w:pPr>
      <w:r>
        <w:rPr>
          <w:rFonts w:ascii="宋体" w:hAnsi="宋体" w:eastAsia="宋体" w:cs="宋体"/>
          <w:kern w:val="0"/>
          <w:sz w:val="24"/>
          <w:szCs w:val="24"/>
        </w:rPr>
        <w:t>（通州）</w:t>
      </w:r>
      <w:r>
        <w:rPr>
          <w:rFonts w:ascii="Times New Roman" w:hAnsi="Times New Roman" w:eastAsia="Times New Roman" w:cs="Times New Roman"/>
          <w:kern w:val="0"/>
          <w:sz w:val="24"/>
          <w:szCs w:val="24"/>
        </w:rPr>
        <w:t>2021</w:t>
      </w:r>
      <w:r>
        <w:rPr>
          <w:rFonts w:ascii="宋体" w:hAnsi="宋体" w:eastAsia="宋体" w:cs="宋体"/>
          <w:kern w:val="0"/>
          <w:sz w:val="24"/>
          <w:szCs w:val="24"/>
        </w:rPr>
        <w:t>年京蒙资金项目前期费，绩效目标</w:t>
      </w:r>
      <w:r>
        <w:rPr>
          <w:rFonts w:ascii="Times New Roman" w:hAnsi="Times New Roman" w:eastAsia="Times New Roman" w:cs="Times New Roman"/>
          <w:kern w:val="0"/>
          <w:sz w:val="24"/>
          <w:szCs w:val="24"/>
        </w:rPr>
        <w:t>99.13</w:t>
      </w:r>
      <w:r>
        <w:rPr>
          <w:rFonts w:ascii="宋体" w:hAnsi="宋体" w:eastAsia="宋体" w:cs="宋体"/>
          <w:kern w:val="0"/>
          <w:sz w:val="24"/>
          <w:szCs w:val="24"/>
        </w:rPr>
        <w:t>分，完成了资金</w:t>
      </w:r>
      <w:r>
        <w:rPr>
          <w:rFonts w:ascii="Times New Roman" w:hAnsi="Times New Roman" w:eastAsia="Times New Roman" w:cs="Times New Roman"/>
          <w:kern w:val="0"/>
          <w:sz w:val="24"/>
          <w:szCs w:val="24"/>
        </w:rPr>
        <w:t>10</w:t>
      </w:r>
      <w:r>
        <w:rPr>
          <w:rFonts w:ascii="宋体" w:hAnsi="宋体" w:eastAsia="宋体" w:cs="宋体"/>
          <w:kern w:val="0"/>
          <w:sz w:val="24"/>
          <w:szCs w:val="24"/>
        </w:rPr>
        <w:t>万元的发放，资金到位及时。为实现此项目资金使用管理规范性、有效性和安全性等，确保此项资金落到实处，根据有关文件要求，严格执行各项资金管理制度，规范操作流程，确保资金运行安全。明确了东明镇代筒村人畜分离养殖小区建设项目和辣椒育秧棚及深加工建设项目专项资金的使用范围、申报流程和支付管理。从资金拨付管理、使用监督、在收到相关支付材料后及时准确的在预算管理一体化系统中进项支付、资金支付结果、监督和跟踪等方面对资金进行管理。</w:t>
      </w:r>
    </w:p>
    <w:p>
      <w:pPr>
        <w:widowControl/>
        <w:spacing w:before="240" w:after="240"/>
        <w:jc w:val="left"/>
        <w:rPr>
          <w:rFonts w:ascii="仿宋_GB2312" w:hAnsi="仿宋_GB2312" w:eastAsia="仿宋_GB2312" w:cs="仿宋_GB2312"/>
          <w:kern w:val="0"/>
          <w:sz w:val="27"/>
          <w:szCs w:val="27"/>
        </w:rPr>
      </w:pPr>
    </w:p>
    <w:p>
      <w:pPr>
        <w:widowControl/>
        <w:numPr>
          <w:ilvl w:val="0"/>
          <w:numId w:val="3"/>
        </w:numPr>
        <w:spacing w:before="240" w:after="240"/>
        <w:ind w:left="630" w:leftChars="0" w:firstLine="0" w:firstLineChars="0"/>
        <w:jc w:val="left"/>
        <w:rPr>
          <w:rFonts w:ascii="仿宋_GB2312" w:hAnsi="仿宋_GB2312" w:eastAsia="仿宋_GB2312" w:cs="仿宋_GB2312"/>
          <w:kern w:val="0"/>
          <w:sz w:val="27"/>
          <w:szCs w:val="27"/>
        </w:rPr>
      </w:pPr>
      <w:r>
        <w:rPr>
          <w:rFonts w:ascii="仿宋_GB2312" w:hAnsi="仿宋_GB2312" w:eastAsia="仿宋_GB2312" w:cs="仿宋_GB2312"/>
          <w:kern w:val="0"/>
          <w:sz w:val="27"/>
          <w:szCs w:val="27"/>
        </w:rPr>
        <w:t>概述下属单位整体支出绩效目标实现情况（如有）。</w:t>
      </w:r>
    </w:p>
    <w:p>
      <w:pPr>
        <w:widowControl/>
        <w:spacing w:before="240" w:after="240"/>
        <w:jc w:val="left"/>
        <w:rPr>
          <w:rFonts w:ascii="仿宋_GB2312" w:hAnsi="仿宋_GB2312" w:eastAsia="仿宋_GB2312" w:cs="仿宋_GB2312"/>
          <w:kern w:val="0"/>
          <w:sz w:val="27"/>
          <w:szCs w:val="27"/>
        </w:rPr>
      </w:pPr>
      <w:r>
        <w:rPr>
          <w:rFonts w:ascii="Times New Roman" w:hAnsi="Times New Roman" w:eastAsia="Times New Roman" w:cs="Times New Roman"/>
          <w:kern w:val="0"/>
          <w:sz w:val="24"/>
          <w:szCs w:val="24"/>
        </w:rPr>
        <w:t xml:space="preserve"> </w:t>
      </w:r>
      <w:r>
        <w:rPr>
          <w:rFonts w:ascii="宋体" w:hAnsi="宋体" w:eastAsia="宋体" w:cs="宋体"/>
          <w:kern w:val="0"/>
          <w:sz w:val="24"/>
          <w:szCs w:val="24"/>
        </w:rPr>
        <w:t>通过发展建设各类产业项目，以出租形式经营，壮大村集体经济实力、确保集体经济收入达到可持续、稳定增加，带动村民就业，带动家庭困难户实现脱贫致富，为下一步农村人居环境整治、村民致富打下坚实基础。</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            注：个别单位如在报送决算时尚未完成绩效评价工作的，可不在报告中说明。</w:t>
      </w:r>
    </w:p>
    <w:p>
      <w:pPr>
        <w:pStyle w:val="4"/>
        <w:keepNext w:val="0"/>
        <w:keepLines w:val="0"/>
        <w:widowControl/>
        <w:numPr>
          <w:ilvl w:val="0"/>
          <w:numId w:val="4"/>
        </w:numPr>
        <w:spacing w:before="281" w:after="281" w:line="240" w:lineRule="auto"/>
        <w:ind w:left="257" w:leftChars="0" w:firstLine="0" w:firstLineChars="0"/>
        <w:jc w:val="left"/>
        <w:rPr>
          <w:rFonts w:ascii="黑体" w:hAnsi="黑体" w:eastAsia="黑体" w:cs="黑体"/>
          <w:kern w:val="0"/>
          <w:sz w:val="27"/>
          <w:szCs w:val="27"/>
        </w:rPr>
      </w:pPr>
      <w:r>
        <w:rPr>
          <w:rFonts w:ascii="黑体" w:hAnsi="黑体" w:eastAsia="黑体" w:cs="黑体"/>
          <w:kern w:val="0"/>
          <w:sz w:val="27"/>
          <w:szCs w:val="27"/>
        </w:rPr>
        <w:t>当年预算执行及绩效管理中存在问题、原因及改进措施。</w:t>
      </w:r>
    </w:p>
    <w:p>
      <w:pPr>
        <w:numPr>
          <w:numId w:val="0"/>
        </w:numPr>
        <w:ind w:left="257" w:leftChars="0"/>
      </w:pPr>
      <w:r>
        <w:rPr>
          <w:rFonts w:hint="eastAsia"/>
        </w:rPr>
        <w:t>绩效管理专业人员匮乏。部门的财务人员大多为非专业技术人员，即使是专职财务人员，但在推进绩效管理及预算执行工作时也缺乏专业技能，难以做到程序规范、管理科学和绩效显著，同时，既没有现成的经验可供借鉴，又缺乏专业性很强的技能储备，只能是边工作、边学习、边摸索、边积累，短期内很多工作难以深入推进。</w:t>
      </w:r>
    </w:p>
    <w:p>
      <w:pPr>
        <w:pStyle w:val="3"/>
        <w:keepNext w:val="0"/>
        <w:keepLines w:val="0"/>
        <w:widowControl/>
        <w:spacing w:before="299" w:after="299" w:line="240" w:lineRule="auto"/>
        <w:jc w:val="left"/>
        <w:rPr>
          <w:rFonts w:ascii="Times New Roman" w:hAnsi="Times New Roman" w:eastAsia="Times New Roman" w:cs="Times New Roman"/>
          <w:b/>
          <w:bCs/>
          <w:kern w:val="0"/>
          <w:sz w:val="36"/>
          <w:szCs w:val="36"/>
        </w:rPr>
      </w:pPr>
      <w:r>
        <w:rPr>
          <w:rFonts w:ascii="宋体" w:hAnsi="宋体" w:eastAsia="宋体" w:cs="宋体"/>
          <w:kern w:val="0"/>
          <w:sz w:val="36"/>
          <w:szCs w:val="36"/>
        </w:rPr>
        <w:t>三、本年度部门决算等财务工作开展情况</w:t>
      </w:r>
    </w:p>
    <w:p>
      <w:pPr>
        <w:widowControl/>
        <w:spacing w:before="240" w:after="240"/>
        <w:jc w:val="left"/>
        <w:rPr>
          <w:rFonts w:ascii="仿宋_GB2312" w:hAnsi="仿宋_GB2312" w:eastAsia="仿宋_GB2312" w:cs="仿宋_GB2312"/>
          <w:kern w:val="0"/>
          <w:sz w:val="27"/>
          <w:szCs w:val="27"/>
        </w:rPr>
      </w:pPr>
      <w:r>
        <w:rPr>
          <w:rFonts w:ascii="仿宋_GB2312" w:hAnsi="仿宋_GB2312" w:eastAsia="仿宋_GB2312" w:cs="仿宋_GB2312"/>
          <w:kern w:val="0"/>
          <w:sz w:val="27"/>
          <w:szCs w:val="27"/>
        </w:rPr>
        <w:t>      （一）本单位财务管理、绩效管理、决算组织、编报、审核情况。</w:t>
      </w:r>
    </w:p>
    <w:p>
      <w:pPr>
        <w:widowControl/>
        <w:spacing w:before="240" w:after="240"/>
        <w:jc w:val="left"/>
        <w:rPr>
          <w:rFonts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东明镇政府加强对本单位财务管理，重视决算组织工作及编报，严格按模板审核。</w:t>
      </w:r>
    </w:p>
    <w:p>
      <w:pPr>
        <w:widowControl/>
        <w:numPr>
          <w:ilvl w:val="0"/>
          <w:numId w:val="5"/>
        </w:numPr>
        <w:spacing w:before="240" w:after="240"/>
        <w:ind w:left="630" w:leftChars="0" w:firstLine="0" w:firstLineChars="0"/>
        <w:jc w:val="left"/>
        <w:rPr>
          <w:rFonts w:ascii="仿宋_GB2312" w:hAnsi="仿宋_GB2312" w:eastAsia="仿宋_GB2312" w:cs="仿宋_GB2312"/>
          <w:kern w:val="0"/>
          <w:sz w:val="27"/>
          <w:szCs w:val="27"/>
        </w:rPr>
      </w:pPr>
      <w:r>
        <w:rPr>
          <w:rFonts w:ascii="仿宋_GB2312" w:hAnsi="仿宋_GB2312" w:eastAsia="仿宋_GB2312" w:cs="仿宋_GB2312"/>
          <w:kern w:val="0"/>
          <w:sz w:val="27"/>
          <w:szCs w:val="27"/>
        </w:rPr>
        <w:t>本部门决算及绩效信息公开工作，主管部门对所属单位决算批复和组织公开决算工作开展情况。</w:t>
      </w:r>
    </w:p>
    <w:p>
      <w:pPr>
        <w:widowControl/>
        <w:numPr>
          <w:numId w:val="0"/>
        </w:numPr>
        <w:spacing w:before="240" w:after="240"/>
        <w:ind w:left="630" w:leftChars="0"/>
        <w:jc w:val="left"/>
        <w:rPr>
          <w:rFonts w:ascii="仿宋_GB2312" w:hAnsi="仿宋_GB2312" w:eastAsia="仿宋_GB2312" w:cs="仿宋_GB2312"/>
          <w:kern w:val="0"/>
          <w:sz w:val="27"/>
          <w:szCs w:val="27"/>
        </w:rPr>
      </w:pPr>
      <w:r>
        <w:rPr>
          <w:rFonts w:hint="eastAsia" w:ascii="仿宋_GB2312" w:hAnsi="仿宋_GB2312" w:eastAsia="仿宋_GB2312" w:cs="仿宋_GB2312"/>
          <w:kern w:val="0"/>
          <w:sz w:val="27"/>
          <w:szCs w:val="27"/>
        </w:rPr>
        <w:t>东明镇政府重视决算公开工作，及时公开，而且主管部门对所属单位按规定批复工作开展情况。</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      （三）对部门决算管理工作的意见和建议。</w:t>
      </w:r>
    </w:p>
    <w:p>
      <w:pPr>
        <w:widowControl/>
        <w:pBdr>
          <w:left w:val="none" w:color="auto" w:sz="0" w:space="30"/>
        </w:pBdr>
        <w:spacing w:before="240" w:after="240"/>
        <w:ind w:left="60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  1.自行增加的审核公式和模板，请说明设置依据。</w:t>
      </w:r>
      <w:r>
        <w:rPr>
          <w:rFonts w:ascii="仿宋_GB2312" w:hAnsi="仿宋_GB2312" w:eastAsia="仿宋_GB2312" w:cs="仿宋_GB2312"/>
          <w:kern w:val="0"/>
          <w:sz w:val="27"/>
          <w:szCs w:val="27"/>
        </w:rPr>
        <w:br w:type="textWrapping"/>
      </w:r>
      <w:r>
        <w:rPr>
          <w:rFonts w:hint="eastAsia" w:ascii="仿宋_GB2312" w:hAnsi="仿宋_GB2312" w:eastAsia="仿宋_GB2312" w:cs="仿宋_GB2312"/>
          <w:kern w:val="0"/>
          <w:sz w:val="27"/>
          <w:szCs w:val="27"/>
        </w:rPr>
        <w:t>无自行增加的审核公示和模板。</w:t>
      </w:r>
    </w:p>
    <w:p>
      <w:pPr>
        <w:widowControl/>
        <w:pBdr>
          <w:left w:val="none" w:color="auto" w:sz="0" w:space="30"/>
        </w:pBdr>
        <w:spacing w:before="240" w:after="240"/>
        <w:ind w:left="60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  2.对部门决算报表修订设计的意见和建议，包括表样、指标设置、软件、审核公式、模板和编审问答等，请列出并说明修改意见。</w:t>
      </w:r>
      <w:r>
        <w:rPr>
          <w:rFonts w:ascii="仿宋_GB2312" w:hAnsi="仿宋_GB2312" w:eastAsia="仿宋_GB2312" w:cs="仿宋_GB2312"/>
          <w:kern w:val="0"/>
          <w:sz w:val="27"/>
          <w:szCs w:val="27"/>
        </w:rPr>
        <w:br w:type="textWrapping"/>
      </w:r>
      <w:r>
        <w:rPr>
          <w:rFonts w:hint="eastAsia" w:ascii="仿宋_GB2312" w:hAnsi="仿宋_GB2312" w:eastAsia="仿宋_GB2312" w:cs="仿宋_GB2312"/>
          <w:kern w:val="0"/>
          <w:sz w:val="27"/>
          <w:szCs w:val="27"/>
        </w:rPr>
        <w:t>东明镇政府对部门决算管理及报表设计无建议。</w:t>
      </w:r>
    </w:p>
    <w:p>
      <w:pPr>
        <w:widowControl/>
        <w:pBdr>
          <w:left w:val="none" w:color="auto" w:sz="0" w:space="30"/>
        </w:pBdr>
        <w:spacing w:before="240" w:after="240"/>
        <w:ind w:left="60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  3.对部门决算其他管理工作的建议。例如对加强部门决算数据分析利用工作、部门决算信息化建设等建议。</w:t>
      </w:r>
      <w:r>
        <w:rPr>
          <w:rFonts w:ascii="仿宋_GB2312" w:hAnsi="仿宋_GB2312" w:eastAsia="仿宋_GB2312" w:cs="仿宋_GB2312"/>
          <w:kern w:val="0"/>
          <w:sz w:val="27"/>
          <w:szCs w:val="27"/>
        </w:rPr>
        <w:br w:type="textWrapping"/>
      </w:r>
      <w:bookmarkStart w:id="1" w:name="_GoBack"/>
      <w:bookmarkEnd w:id="1"/>
      <w:r>
        <w:rPr>
          <w:rFonts w:hint="eastAsia" w:ascii="仿宋_GB2312" w:hAnsi="仿宋_GB2312" w:eastAsia="仿宋_GB2312" w:cs="仿宋_GB2312"/>
          <w:kern w:val="0"/>
          <w:sz w:val="27"/>
          <w:szCs w:val="27"/>
        </w:rPr>
        <w:t>决算反应一个单位的经济状况及财务管理情况的全貌，有必要各部门高度重视，分析财务执行的效益。</w:t>
      </w:r>
    </w:p>
    <w:p>
      <w:pPr>
        <w:widowControl/>
        <w:spacing w:before="240" w:after="240"/>
        <w:jc w:val="left"/>
        <w:rPr>
          <w:rFonts w:ascii="Times New Roman" w:hAnsi="Times New Roman" w:eastAsia="Times New Roman" w:cs="Times New Roman"/>
          <w:kern w:val="0"/>
          <w:sz w:val="24"/>
        </w:rPr>
      </w:pPr>
      <w:r>
        <w:rPr>
          <w:rFonts w:ascii="仿宋_GB2312" w:hAnsi="仿宋_GB2312" w:eastAsia="仿宋_GB2312" w:cs="仿宋_GB2312"/>
          <w:kern w:val="0"/>
          <w:sz w:val="27"/>
          <w:szCs w:val="27"/>
        </w:rPr>
        <w:t>        注：收入支出预算执行情况分析可参考部门决算分析评价表及行政事业单位财务分析指标。</w:t>
      </w:r>
    </w:p>
    <w:bookmarkEnd w:id="0"/>
    <w:p>
      <w:pPr>
        <w:adjustRightInd w:val="0"/>
        <w:snapToGrid w:val="0"/>
        <w:rPr>
          <w:rFonts w:ascii="宋体" w:hAnsi="宋体"/>
          <w:b/>
          <w:sz w:val="32"/>
          <w:szCs w:val="32"/>
        </w:rPr>
      </w:pPr>
    </w:p>
    <w:p>
      <w:pPr>
        <w:adjustRightInd w:val="0"/>
        <w:snapToGrid w:val="0"/>
        <w:rPr>
          <w:rFonts w:ascii="宋体" w:hAnsi="宋体"/>
          <w:b/>
          <w:sz w:val="32"/>
          <w:szCs w:val="32"/>
        </w:rPr>
      </w:pPr>
    </w:p>
    <w:p>
      <w:pPr>
        <w:tabs>
          <w:tab w:val="left" w:pos="8415"/>
        </w:tabs>
      </w:pPr>
    </w:p>
    <w:sectPr>
      <w:footerReference r:id="rId4" w:type="default"/>
      <w:pgSz w:w="11906" w:h="16838"/>
      <w:pgMar w:top="1440" w:right="1083" w:bottom="1440" w:left="1083"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12</w:t>
    </w:r>
    <w:r>
      <w:rPr>
        <w:lang w:val="zh-CN"/>
      </w:rP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EE1650"/>
    <w:multiLevelType w:val="singleLevel"/>
    <w:tmpl w:val="CCEE1650"/>
    <w:lvl w:ilvl="0" w:tentative="0">
      <w:start w:val="2"/>
      <w:numFmt w:val="chineseCounting"/>
      <w:suff w:val="nothing"/>
      <w:lvlText w:val="（%1）"/>
      <w:lvlJc w:val="left"/>
      <w:pPr>
        <w:ind w:left="630" w:leftChars="0" w:firstLine="0" w:firstLineChars="0"/>
      </w:pPr>
      <w:rPr>
        <w:rFonts w:hint="eastAsia"/>
      </w:rPr>
    </w:lvl>
  </w:abstractNum>
  <w:abstractNum w:abstractNumId="1">
    <w:nsid w:val="E55B98CC"/>
    <w:multiLevelType w:val="singleLevel"/>
    <w:tmpl w:val="E55B98CC"/>
    <w:lvl w:ilvl="0" w:tentative="0">
      <w:start w:val="6"/>
      <w:numFmt w:val="chineseCounting"/>
      <w:suff w:val="nothing"/>
      <w:lvlText w:val="（%1）"/>
      <w:lvlJc w:val="left"/>
      <w:pPr>
        <w:ind w:left="257" w:leftChars="0" w:firstLine="0" w:firstLineChars="0"/>
      </w:pPr>
      <w:rPr>
        <w:rFonts w:hint="eastAsia"/>
      </w:rPr>
    </w:lvl>
  </w:abstractNum>
  <w:abstractNum w:abstractNumId="2">
    <w:nsid w:val="F0DB3550"/>
    <w:multiLevelType w:val="singleLevel"/>
    <w:tmpl w:val="F0DB3550"/>
    <w:lvl w:ilvl="0" w:tentative="0">
      <w:start w:val="2"/>
      <w:numFmt w:val="decimal"/>
      <w:lvlText w:val="%1."/>
      <w:lvlJc w:val="left"/>
      <w:pPr>
        <w:tabs>
          <w:tab w:val="left" w:pos="312"/>
        </w:tabs>
        <w:ind w:left="630" w:leftChars="0" w:firstLine="0" w:firstLineChars="0"/>
      </w:pPr>
    </w:lvl>
  </w:abstractNum>
  <w:abstractNum w:abstractNumId="3">
    <w:nsid w:val="2E6A7A64"/>
    <w:multiLevelType w:val="singleLevel"/>
    <w:tmpl w:val="2E6A7A64"/>
    <w:lvl w:ilvl="0" w:tentative="0">
      <w:start w:val="2"/>
      <w:numFmt w:val="decimal"/>
      <w:suff w:val="nothing"/>
      <w:lvlText w:val="（%1）"/>
      <w:lvlJc w:val="left"/>
      <w:pPr>
        <w:ind w:left="495" w:leftChars="0" w:firstLine="0" w:firstLineChars="0"/>
      </w:pPr>
    </w:lvl>
  </w:abstractNum>
  <w:abstractNum w:abstractNumId="4">
    <w:nsid w:val="49719087"/>
    <w:multiLevelType w:val="singleLevel"/>
    <w:tmpl w:val="49719087"/>
    <w:lvl w:ilvl="0" w:tentative="0">
      <w:start w:val="2"/>
      <w:numFmt w:val="decimal"/>
      <w:suff w:val="nothing"/>
      <w:lvlText w:val="（%1）"/>
      <w:lvlJc w:val="left"/>
      <w:pPr>
        <w:ind w:left="210" w:leftChars="0" w:firstLine="0" w:firstLineChars="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wYTA1ODlkZTMxMWU4MjBhZDU2YmNhN2IzYjBhYWIifQ=="/>
  </w:docVars>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1F2051"/>
    <w:rsid w:val="00204509"/>
    <w:rsid w:val="00225D2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14EB115F"/>
    <w:rsid w:val="15734AAF"/>
    <w:rsid w:val="18225FBB"/>
    <w:rsid w:val="1C7C2E9C"/>
    <w:rsid w:val="2A075D87"/>
    <w:rsid w:val="36E2125D"/>
    <w:rsid w:val="3DD87438"/>
    <w:rsid w:val="43FA2273"/>
    <w:rsid w:val="6E2C7D92"/>
    <w:rsid w:val="72024461"/>
    <w:rsid w:val="76683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before="260" w:after="260" w:line="416" w:lineRule="auto"/>
      <w:outlineLvl w:val="2"/>
    </w:pPr>
    <w:rPr>
      <w:b/>
      <w:bCs/>
      <w:sz w:val="32"/>
      <w:szCs w:val="32"/>
    </w:rPr>
  </w:style>
  <w:style w:type="paragraph" w:styleId="5">
    <w:name w:val="heading 4"/>
    <w:basedOn w:val="1"/>
    <w:next w:val="1"/>
    <w:link w:val="23"/>
    <w:qFormat/>
    <w:uiPriority w:val="0"/>
    <w:pPr>
      <w:keepNext/>
      <w:keepLines/>
      <w:spacing w:before="280" w:after="290" w:line="376" w:lineRule="auto"/>
      <w:outlineLvl w:val="3"/>
    </w:pPr>
    <w:rPr>
      <w:rFonts w:ascii="Cambria" w:hAnsi="Cambria"/>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sz w:val="20"/>
      <w:szCs w:val="20"/>
    </w:rPr>
  </w:style>
  <w:style w:type="paragraph" w:styleId="7">
    <w:name w:val="Document Map"/>
    <w:basedOn w:val="1"/>
    <w:qFormat/>
    <w:uiPriority w:val="0"/>
    <w:pPr>
      <w:shd w:val="clear" w:color="auto" w:fill="000080"/>
    </w:pPr>
  </w:style>
  <w:style w:type="paragraph" w:styleId="8">
    <w:name w:val="toc 5"/>
    <w:basedOn w:val="1"/>
    <w:next w:val="1"/>
    <w:qFormat/>
    <w:uiPriority w:val="0"/>
    <w:pPr>
      <w:ind w:left="840"/>
      <w:jc w:val="left"/>
    </w:pPr>
    <w:rPr>
      <w:sz w:val="20"/>
      <w:szCs w:val="20"/>
    </w:rPr>
  </w:style>
  <w:style w:type="paragraph" w:styleId="9">
    <w:name w:val="toc 3"/>
    <w:basedOn w:val="1"/>
    <w:next w:val="1"/>
    <w:qFormat/>
    <w:uiPriority w:val="0"/>
    <w:pPr>
      <w:adjustRightInd w:val="0"/>
      <w:snapToGrid w:val="0"/>
      <w:spacing w:line="360" w:lineRule="auto"/>
      <w:ind w:firstLine="400" w:firstLineChars="400"/>
      <w:jc w:val="left"/>
    </w:pPr>
    <w:rPr>
      <w:sz w:val="24"/>
      <w:szCs w:val="20"/>
    </w:rPr>
  </w:style>
  <w:style w:type="paragraph" w:styleId="10">
    <w:name w:val="toc 8"/>
    <w:basedOn w:val="1"/>
    <w:next w:val="1"/>
    <w:qFormat/>
    <w:uiPriority w:val="0"/>
    <w:pPr>
      <w:ind w:left="1470"/>
      <w:jc w:val="left"/>
    </w:pPr>
    <w:rPr>
      <w:sz w:val="20"/>
      <w:szCs w:val="20"/>
    </w:rPr>
  </w:style>
  <w:style w:type="paragraph" w:styleId="11">
    <w:name w:val="footer"/>
    <w:basedOn w:val="1"/>
    <w:link w:val="26"/>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adjustRightInd w:val="0"/>
      <w:snapToGrid w:val="0"/>
      <w:spacing w:line="360" w:lineRule="auto"/>
      <w:jc w:val="left"/>
    </w:pPr>
    <w:rPr>
      <w:b/>
      <w:bCs/>
      <w:sz w:val="24"/>
      <w:szCs w:val="20"/>
    </w:rPr>
  </w:style>
  <w:style w:type="paragraph" w:styleId="14">
    <w:name w:val="toc 4"/>
    <w:basedOn w:val="1"/>
    <w:next w:val="1"/>
    <w:qFormat/>
    <w:uiPriority w:val="0"/>
    <w:pPr>
      <w:ind w:left="630"/>
      <w:jc w:val="left"/>
    </w:pPr>
    <w:rPr>
      <w:sz w:val="20"/>
      <w:szCs w:val="20"/>
    </w:rPr>
  </w:style>
  <w:style w:type="paragraph" w:styleId="15">
    <w:name w:val="toc 6"/>
    <w:basedOn w:val="1"/>
    <w:next w:val="1"/>
    <w:qFormat/>
    <w:uiPriority w:val="0"/>
    <w:pPr>
      <w:ind w:left="1050"/>
      <w:jc w:val="left"/>
    </w:pPr>
    <w:rPr>
      <w:sz w:val="20"/>
      <w:szCs w:val="20"/>
    </w:rPr>
  </w:style>
  <w:style w:type="paragraph" w:styleId="16">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7">
    <w:name w:val="toc 9"/>
    <w:basedOn w:val="1"/>
    <w:next w:val="1"/>
    <w:qFormat/>
    <w:uiPriority w:val="0"/>
    <w:pPr>
      <w:ind w:left="1680"/>
      <w:jc w:val="left"/>
    </w:pPr>
    <w:rPr>
      <w:sz w:val="20"/>
      <w:szCs w:val="20"/>
    </w:rPr>
  </w:style>
  <w:style w:type="table" w:styleId="19">
    <w:name w:val="Table Grid"/>
    <w:basedOn w:val="1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basedOn w:val="20"/>
    <w:qFormat/>
    <w:uiPriority w:val="0"/>
    <w:rPr>
      <w:color w:val="0000FF"/>
      <w:u w:val="single"/>
    </w:rPr>
  </w:style>
  <w:style w:type="character" w:customStyle="1" w:styleId="23">
    <w:name w:val="标题 4 字符"/>
    <w:basedOn w:val="20"/>
    <w:link w:val="5"/>
    <w:qFormat/>
    <w:uiPriority w:val="0"/>
    <w:rPr>
      <w:rFonts w:ascii="Cambria" w:hAnsi="Cambria"/>
      <w:b/>
      <w:bCs/>
      <w:kern w:val="2"/>
      <w:sz w:val="28"/>
      <w:szCs w:val="28"/>
    </w:rPr>
  </w:style>
  <w:style w:type="paragraph" w:styleId="24">
    <w:name w:val="No Spacing"/>
    <w:link w:val="25"/>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5">
    <w:name w:val="无间隔 字符"/>
    <w:link w:val="24"/>
    <w:qFormat/>
    <w:locked/>
    <w:uiPriority w:val="0"/>
    <w:rPr>
      <w:rFonts w:eastAsia="仿宋_GB2312"/>
      <w:sz w:val="30"/>
      <w:szCs w:val="22"/>
      <w:lang w:bidi="ar-SA"/>
    </w:rPr>
  </w:style>
  <w:style w:type="character" w:customStyle="1" w:styleId="26">
    <w:name w:val="页脚 字符"/>
    <w:basedOn w:val="20"/>
    <w:link w:val="11"/>
    <w:qFormat/>
    <w:uiPriority w:val="0"/>
    <w:rPr>
      <w:kern w:val="2"/>
      <w:sz w:val="18"/>
      <w:szCs w:val="18"/>
    </w:rPr>
  </w:style>
  <w:style w:type="paragraph" w:styleId="27">
    <w:name w:val="List Paragraph"/>
    <w:basedOn w:val="1"/>
    <w:qFormat/>
    <w:uiPriority w:val="0"/>
    <w:pPr>
      <w:ind w:firstLine="420" w:firstLineChars="200"/>
    </w:pPr>
  </w:style>
  <w:style w:type="character" w:customStyle="1" w:styleId="28">
    <w:name w:val="标题 3 字符"/>
    <w:basedOn w:val="20"/>
    <w:link w:val="4"/>
    <w:qFormat/>
    <w:uiPriority w:val="0"/>
    <w:rPr>
      <w:b/>
      <w:bCs/>
      <w:kern w:val="2"/>
      <w:sz w:val="32"/>
      <w:szCs w:val="32"/>
    </w:rPr>
  </w:style>
  <w:style w:type="table" w:customStyle="1" w:styleId="29">
    <w:name w:val="mce-item-table"/>
    <w:basedOn w:val="1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57559B6-2DC7-41B5-818F-6E7F243775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7380</Words>
  <Characters>9792</Characters>
  <Lines>1</Lines>
  <Paragraphs>1</Paragraphs>
  <TotalTime>1</TotalTime>
  <ScaleCrop>false</ScaleCrop>
  <LinksUpToDate>false</LinksUpToDate>
  <CharactersWithSpaces>10416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Administrator</cp:lastModifiedBy>
  <cp:lastPrinted>2021-04-16T00:45:00Z</cp:lastPrinted>
  <dcterms:modified xsi:type="dcterms:W3CDTF">2025-02-10T04:23:23Z</dcterms:modified>
  <dc:title>××年度××部门/单位</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C899B69A9FD146B88F80B30CD767A02D</vt:lpwstr>
  </property>
</Properties>
</file>