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87A0"/>
    <w:p w14:paraId="463D18C1"/>
    <w:p w14:paraId="6F5168CB"/>
    <w:p w14:paraId="1E96C0EA">
      <w:pPr>
        <w:pStyle w:val="5"/>
        <w:spacing w:line="256" w:lineRule="auto"/>
      </w:pPr>
    </w:p>
    <w:p w14:paraId="756FC31D">
      <w:pPr>
        <w:pStyle w:val="5"/>
        <w:spacing w:line="256" w:lineRule="auto"/>
      </w:pPr>
    </w:p>
    <w:p w14:paraId="2B277CBF">
      <w:pPr>
        <w:pStyle w:val="5"/>
        <w:spacing w:line="256" w:lineRule="auto"/>
      </w:pPr>
    </w:p>
    <w:p w14:paraId="7205B477">
      <w:pPr>
        <w:pStyle w:val="5"/>
        <w:spacing w:line="256" w:lineRule="auto"/>
      </w:pPr>
    </w:p>
    <w:p w14:paraId="2F350188">
      <w:pPr>
        <w:pStyle w:val="5"/>
        <w:spacing w:line="257" w:lineRule="auto"/>
        <w:rPr>
          <w:rFonts w:hint="eastAsia" w:ascii="宋体" w:hAnsi="宋体" w:eastAsia="宋体" w:cs="宋体"/>
        </w:rPr>
      </w:pPr>
    </w:p>
    <w:p w14:paraId="2EAEF753">
      <w:pPr>
        <w:pStyle w:val="5"/>
        <w:spacing w:line="257" w:lineRule="auto"/>
        <w:rPr>
          <w:rFonts w:hint="eastAsia" w:ascii="宋体" w:hAnsi="宋体" w:eastAsia="宋体" w:cs="宋体"/>
        </w:rPr>
      </w:pPr>
    </w:p>
    <w:p w14:paraId="1AF99C13">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奈曼旗人力资源和社会保障局（本级）</w:t>
      </w:r>
      <w:permEnd w:id="0"/>
    </w:p>
    <w:bookmarkEnd w:id="0"/>
    <w:p w14:paraId="0C49A8E6">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rPr>
        <w:t>预算公开</w:t>
      </w:r>
    </w:p>
    <w:p w14:paraId="526B675A">
      <w:pPr>
        <w:pStyle w:val="5"/>
        <w:spacing w:line="244" w:lineRule="auto"/>
      </w:pPr>
    </w:p>
    <w:p w14:paraId="6AABD013">
      <w:pPr>
        <w:pStyle w:val="5"/>
        <w:spacing w:line="244" w:lineRule="auto"/>
      </w:pPr>
    </w:p>
    <w:p w14:paraId="5023AA95">
      <w:pPr>
        <w:pStyle w:val="5"/>
        <w:spacing w:line="244" w:lineRule="auto"/>
      </w:pPr>
    </w:p>
    <w:p w14:paraId="00D63A72">
      <w:pPr>
        <w:pStyle w:val="5"/>
        <w:spacing w:line="244" w:lineRule="auto"/>
      </w:pPr>
    </w:p>
    <w:p w14:paraId="37FA8509">
      <w:pPr>
        <w:pStyle w:val="5"/>
        <w:spacing w:line="244" w:lineRule="auto"/>
      </w:pPr>
    </w:p>
    <w:p w14:paraId="3B6D2959">
      <w:pPr>
        <w:pStyle w:val="5"/>
        <w:spacing w:line="244" w:lineRule="auto"/>
      </w:pPr>
    </w:p>
    <w:p w14:paraId="6EC5C700">
      <w:pPr>
        <w:pStyle w:val="5"/>
        <w:spacing w:line="244" w:lineRule="auto"/>
      </w:pPr>
    </w:p>
    <w:p w14:paraId="684A600E">
      <w:pPr>
        <w:pStyle w:val="5"/>
        <w:spacing w:line="245" w:lineRule="auto"/>
      </w:pPr>
    </w:p>
    <w:p w14:paraId="17B8A864">
      <w:pPr>
        <w:pStyle w:val="5"/>
        <w:spacing w:line="245" w:lineRule="auto"/>
      </w:pPr>
    </w:p>
    <w:p w14:paraId="007B7D83">
      <w:pPr>
        <w:pStyle w:val="5"/>
        <w:spacing w:line="245" w:lineRule="auto"/>
      </w:pPr>
    </w:p>
    <w:p w14:paraId="259951B2">
      <w:pPr>
        <w:pStyle w:val="5"/>
        <w:spacing w:line="245" w:lineRule="auto"/>
      </w:pPr>
    </w:p>
    <w:p w14:paraId="01C56F4B">
      <w:pPr>
        <w:pStyle w:val="5"/>
        <w:spacing w:line="245" w:lineRule="auto"/>
      </w:pPr>
    </w:p>
    <w:p w14:paraId="1C58F418">
      <w:pPr>
        <w:pStyle w:val="5"/>
        <w:spacing w:line="245" w:lineRule="auto"/>
      </w:pPr>
    </w:p>
    <w:p w14:paraId="52B1C00F">
      <w:pPr>
        <w:pStyle w:val="5"/>
        <w:spacing w:line="245" w:lineRule="auto"/>
      </w:pPr>
    </w:p>
    <w:p w14:paraId="27859EBA">
      <w:pPr>
        <w:pStyle w:val="5"/>
        <w:spacing w:line="245" w:lineRule="auto"/>
      </w:pPr>
    </w:p>
    <w:p w14:paraId="2732058C">
      <w:pPr>
        <w:pStyle w:val="5"/>
        <w:spacing w:line="245" w:lineRule="auto"/>
      </w:pPr>
    </w:p>
    <w:p w14:paraId="25FCCD9E">
      <w:pPr>
        <w:pStyle w:val="5"/>
        <w:spacing w:line="245" w:lineRule="auto"/>
      </w:pPr>
    </w:p>
    <w:p w14:paraId="269AECB3">
      <w:pPr>
        <w:pStyle w:val="5"/>
        <w:spacing w:line="245" w:lineRule="auto"/>
      </w:pPr>
    </w:p>
    <w:p w14:paraId="43A496E1">
      <w:pPr>
        <w:pStyle w:val="5"/>
        <w:spacing w:line="245" w:lineRule="auto"/>
      </w:pPr>
    </w:p>
    <w:p w14:paraId="254F1B9A">
      <w:pPr>
        <w:pStyle w:val="5"/>
        <w:spacing w:line="245" w:lineRule="auto"/>
      </w:pPr>
    </w:p>
    <w:p w14:paraId="0E4273F9">
      <w:pPr>
        <w:pStyle w:val="5"/>
        <w:spacing w:line="245" w:lineRule="auto"/>
      </w:pPr>
    </w:p>
    <w:p w14:paraId="4D3B80EB">
      <w:pPr>
        <w:pStyle w:val="5"/>
        <w:spacing w:line="245" w:lineRule="auto"/>
      </w:pPr>
    </w:p>
    <w:p w14:paraId="2B0B62F0">
      <w:pPr>
        <w:pStyle w:val="5"/>
        <w:spacing w:line="245" w:lineRule="auto"/>
      </w:pPr>
    </w:p>
    <w:p w14:paraId="47EAEB19">
      <w:pPr>
        <w:pStyle w:val="5"/>
        <w:spacing w:line="245" w:lineRule="auto"/>
      </w:pPr>
    </w:p>
    <w:p w14:paraId="74C2E6B4">
      <w:pPr>
        <w:pStyle w:val="5"/>
        <w:spacing w:line="245" w:lineRule="auto"/>
      </w:pPr>
    </w:p>
    <w:p w14:paraId="0D29AB82">
      <w:pPr>
        <w:pStyle w:val="5"/>
        <w:spacing w:line="245" w:lineRule="auto"/>
      </w:pPr>
    </w:p>
    <w:p w14:paraId="24467374">
      <w:pPr>
        <w:pStyle w:val="5"/>
        <w:spacing w:line="245" w:lineRule="auto"/>
      </w:pPr>
    </w:p>
    <w:p w14:paraId="38E31BED">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21</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409FF773">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bookmarkStart w:id="2" w:name="PO_part1A4"/>
      <w:permStart w:id="4" w:edGrp="everyone"/>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191B8201">
      <w:pPr>
        <w:spacing w:line="221" w:lineRule="auto"/>
        <w:rPr>
          <w:rFonts w:hint="eastAsia" w:ascii="仿宋" w:hAnsi="仿宋" w:eastAsia="仿宋" w:cs="仿宋"/>
          <w:sz w:val="31"/>
          <w:szCs w:val="31"/>
        </w:rPr>
      </w:pPr>
    </w:p>
    <w:p w14:paraId="3E880185">
      <w:pPr>
        <w:pStyle w:val="9"/>
        <w:ind w:left="0" w:leftChars="0" w:firstLine="0"/>
        <w:rPr>
          <w:rFonts w:ascii="仿宋" w:hAnsi="仿宋" w:eastAsia="仿宋" w:cs="仿宋"/>
          <w:sz w:val="31"/>
          <w:szCs w:val="31"/>
        </w:rPr>
      </w:pPr>
    </w:p>
    <w:p w14:paraId="17D904EF">
      <w:pPr>
        <w:pStyle w:val="9"/>
        <w:ind w:left="0" w:leftChars="0" w:firstLine="0"/>
        <w:rPr>
          <w:rFonts w:ascii="仿宋" w:hAnsi="仿宋" w:eastAsia="仿宋" w:cs="仿宋"/>
          <w:sz w:val="31"/>
          <w:szCs w:val="31"/>
        </w:rPr>
      </w:pPr>
    </w:p>
    <w:p w14:paraId="05F59062">
      <w:pPr>
        <w:pStyle w:val="9"/>
        <w:ind w:left="0" w:leftChars="0" w:firstLine="0"/>
        <w:rPr>
          <w:rFonts w:ascii="仿宋" w:hAnsi="仿宋" w:eastAsia="仿宋" w:cs="仿宋"/>
          <w:sz w:val="31"/>
          <w:szCs w:val="31"/>
        </w:rPr>
      </w:pPr>
    </w:p>
    <w:p w14:paraId="01591C8D">
      <w:pPr>
        <w:pStyle w:val="9"/>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7F3E6183">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022DF371">
      <w:pPr>
        <w:pStyle w:val="5"/>
        <w:spacing w:line="317" w:lineRule="auto"/>
      </w:pPr>
    </w:p>
    <w:p w14:paraId="58D09EA2">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14:paraId="7C4E76D8">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2FAAF9EB">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286BDEFB">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14:paraId="6EED5F5D">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14:paraId="530AF713">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185F149B">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2EDD686F">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6365FE25">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52F900BF">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3C2F991B">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0CF999EA">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15604263">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33B8BEA2">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6A182366">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6F453279">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44222F34">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12244E41">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7019B115">
      <w:pPr>
        <w:spacing w:before="1" w:line="222" w:lineRule="auto"/>
        <w:ind w:left="13" w:firstLine="668" w:firstLineChars="200"/>
      </w:pPr>
      <w:r>
        <w:rPr>
          <w:rFonts w:ascii="仿宋" w:hAnsi="仿宋" w:eastAsia="仿宋" w:cs="仿宋"/>
          <w:spacing w:val="7"/>
          <w:sz w:val="32"/>
          <w:szCs w:val="32"/>
        </w:rPr>
        <w:t>十四、项目绩效目标情况说明</w:t>
      </w:r>
    </w:p>
    <w:p w14:paraId="7D5DB75C">
      <w:pPr>
        <w:spacing w:line="160" w:lineRule="exact"/>
        <w:sectPr>
          <w:footerReference r:id="rId4" w:type="default"/>
          <w:pgSz w:w="11910" w:h="16840"/>
          <w:pgMar w:top="1431" w:right="1786" w:bottom="1106" w:left="1651" w:header="0" w:footer="853" w:gutter="0"/>
          <w:cols w:equalWidth="0" w:num="1">
            <w:col w:w="8472"/>
          </w:cols>
        </w:sectPr>
      </w:pPr>
    </w:p>
    <w:p w14:paraId="34CDE82D">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42681F70">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4C749B99">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14:paraId="46C3B66F">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14:paraId="47EB8629">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14:paraId="2D761CA2">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14:paraId="084371DE">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14:paraId="3F0A2D31">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14:paraId="57C0C0D2">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56CFBE27">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65E723A4">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25D8CB46">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14:paraId="1B99619B">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14:paraId="47C76E38">
      <w:pPr>
        <w:pStyle w:val="5"/>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14:paraId="6516498C">
      <w:pPr>
        <w:pStyle w:val="5"/>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14:paraId="3776F088">
      <w:pPr>
        <w:spacing w:before="231" w:line="222" w:lineRule="auto"/>
        <w:rPr>
          <w:rFonts w:hint="eastAsia" w:ascii="仿宋" w:hAnsi="仿宋" w:eastAsia="仿宋" w:cs="仿宋"/>
          <w:spacing w:val="5"/>
          <w:sz w:val="31"/>
          <w:szCs w:val="31"/>
        </w:rPr>
      </w:pPr>
    </w:p>
    <w:p w14:paraId="2B6E28E3">
      <w:pPr>
        <w:spacing w:before="231" w:line="222" w:lineRule="auto"/>
        <w:rPr>
          <w:rFonts w:hint="eastAsia" w:ascii="仿宋" w:hAnsi="仿宋" w:eastAsia="仿宋" w:cs="仿宋"/>
          <w:sz w:val="31"/>
          <w:szCs w:val="31"/>
        </w:rPr>
      </w:pPr>
    </w:p>
    <w:p w14:paraId="1ED19750">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71B99A6C">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14:paraId="372E35B4">
      <w:pPr>
        <w:pStyle w:val="9"/>
        <w:ind w:left="0" w:leftChars="0" w:firstLine="0"/>
        <w:rPr>
          <w:sz w:val="36"/>
          <w:szCs w:val="36"/>
        </w:rPr>
      </w:pPr>
    </w:p>
    <w:p w14:paraId="2DABB3B5">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585C389C">
      <w:pPr>
        <w:snapToGrid w:val="0"/>
        <w:spacing w:line="500" w:lineRule="exact"/>
        <w:ind w:firstLine="640"/>
        <w:rPr>
          <w:rFonts w:hint="eastAsia" w:eastAsia="仿宋_GB2312"/>
          <w:sz w:val="32"/>
          <w:szCs w:val="32"/>
          <w:lang w:val="en-US" w:eastAsia="zh-CN"/>
        </w:rPr>
      </w:pPr>
      <w:permStart w:id="5" w:edGrp="everyone"/>
      <w:bookmarkStart w:id="4" w:name="PO_part1Responsibilities"/>
      <w:bookmarkStart w:id="183" w:name="_GoBack"/>
      <w:bookmarkEnd w:id="183"/>
      <w:r>
        <w:rPr>
          <w:rFonts w:hint="eastAsia" w:eastAsia="仿宋_GB2312"/>
          <w:sz w:val="32"/>
          <w:szCs w:val="32"/>
          <w:lang w:val="en-US" w:eastAsia="zh-CN"/>
        </w:rPr>
        <w:t xml:space="preserve">1.贯彻执行国家人力资源和社会保障法律、法规、政策，贯彻实施自治区、通辽市人力资源和社会保障地方性法规、规章。拟订全旗人力资源和社会保障事业发展规划、政策。 </w:t>
      </w:r>
    </w:p>
    <w:p w14:paraId="06BE0F61">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2.拟定全旗人力资源市场发展规划和人力资源流动政策，建立统一规范的人力资源市场，促进人力资源合理流动、有效配置，推进人才战略实施，完善人才储备制度。 </w:t>
      </w:r>
    </w:p>
    <w:p w14:paraId="6A877E74">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3.贯彻实施《就业促进法》，拟订全旗统筹城乡的就业发展规划和政策，完善公共就业服务体系和公共创业服务体系，建立健全就业援助制度，完善职业资格制度，统筹建立面向城乡劳动者的职业培训制度，牵头贯彻落实高校毕业生就业政策，会同有关部门贯彻落实高技能人才、农村实用人才培养和激励政策。 </w:t>
      </w:r>
    </w:p>
    <w:p w14:paraId="0C8DED41">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4.统筹建立覆盖全旗城乡的社会保障体系。贯彻执行全自治区统一的社会保险关系转续办法，贯彻执行养老、失业、工伤政策，加强全旗社会保险及其补充保险基金管理和监督。 </w:t>
      </w:r>
    </w:p>
    <w:p w14:paraId="364F72CD">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5.负责全旗就业、失业、社会保险信息引导，实施预防、 调节和控制，执行经济结构调整中涉及职工安置权益保障的有关政策，保持全旗就业形势稳定和社会保险基金总体收支平衡。 </w:t>
      </w:r>
    </w:p>
    <w:p w14:paraId="5EAE170B">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6.执行国家、自治区和通辽市机关、事业单位人员工资收入分配政策，建立机关企事业单位人员工资正常增长和支付保障机制，执行机关企事业单位人员福利和离退休政策。 </w:t>
      </w:r>
    </w:p>
    <w:p w14:paraId="0FD9C9AE">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7.会同有关部门指导全旗事业单位人事制度改革，执行事业单位人员和机关工勤人员管理政策，参与人才管理工作，执行专业技术人员管理和继续教育政策，负责全旗职称制度改革工作，负责全旗高层次专业技术人才选拔和培养工作。 </w:t>
      </w:r>
    </w:p>
    <w:p w14:paraId="1E167953">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8.会同有关部门拟订全旗农民工工作综合性政策和规划，推动农民工相关政策的落实，协调解决重点难点问题，维护农民工合法权益。 </w:t>
      </w:r>
    </w:p>
    <w:p w14:paraId="2AA920CE">
      <w:pPr>
        <w:snapToGrid w:val="0"/>
        <w:spacing w:line="500" w:lineRule="exact"/>
        <w:ind w:firstLine="640"/>
        <w:rPr>
          <w:rFonts w:hint="eastAsia" w:eastAsia="仿宋_GB2312"/>
          <w:sz w:val="32"/>
          <w:szCs w:val="32"/>
          <w:lang w:val="en-US" w:eastAsia="zh-CN"/>
        </w:rPr>
      </w:pPr>
      <w:r>
        <w:rPr>
          <w:rFonts w:hint="eastAsia" w:eastAsia="仿宋_GB2312"/>
          <w:sz w:val="32"/>
          <w:szCs w:val="32"/>
          <w:lang w:val="en-US" w:eastAsia="zh-CN"/>
        </w:rPr>
        <w:t xml:space="preserve">9. 贯彻执行劳动、人事争议调解仲裁制度和劳动关系政策，完善劳动关系协调机制，组织实施劳动保障监察，协调劳动者维权工作，依法查处重大案件。 </w:t>
      </w:r>
    </w:p>
    <w:p w14:paraId="3FCB9ED0">
      <w:pPr>
        <w:spacing w:line="600" w:lineRule="exact"/>
        <w:ind w:firstLine="640" w:firstLineChars="200"/>
        <w:rPr>
          <w:rFonts w:hint="eastAsia" w:ascii="黑体" w:hAnsi="黑体" w:eastAsia="黑体"/>
          <w:color w:val="000000"/>
          <w:sz w:val="32"/>
          <w:szCs w:val="32"/>
        </w:rPr>
      </w:pPr>
      <w:r>
        <w:rPr>
          <w:rFonts w:hint="eastAsia" w:eastAsia="仿宋_GB2312"/>
          <w:sz w:val="32"/>
          <w:szCs w:val="32"/>
          <w:lang w:val="en-US" w:eastAsia="zh-CN"/>
        </w:rPr>
        <w:t>10.承办奈曼旗政府和通辽市人力资源和社会保障局交办的其他事项</w:t>
      </w:r>
      <w:r>
        <w:rPr>
          <w:rFonts w:hint="eastAsia" w:ascii="Times New Roman" w:hAnsi="Times New Roman" w:eastAsia="仿宋_GB2312"/>
          <w:sz w:val="11"/>
          <w:szCs w:val="11"/>
        </w:rPr>
        <w:t xml:space="preserve"> </w:t>
      </w:r>
      <w:r>
        <w:rPr>
          <w:rFonts w:ascii="仿宋" w:hAnsi="仿宋" w:eastAsia="仿宋" w:cs="仿宋"/>
          <w:spacing w:val="5"/>
          <w:sz w:val="31"/>
          <w:szCs w:val="31"/>
        </w:rPr>
        <w:t>。</w:t>
      </w:r>
      <w:bookmarkEnd w:id="4"/>
    </w:p>
    <w:permEnd w:id="5"/>
    <w:p w14:paraId="2BAA5F9C">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14:paraId="7ABF4CAB">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permStart w:id="6" w:edGrp="everyone"/>
      <w:bookmarkStart w:id="5" w:name="PO_part1Responsibilities1"/>
      <w:r>
        <w:rPr>
          <w:rFonts w:hint="eastAsia" w:ascii="Times New Roman" w:hAnsi="Times New Roman" w:eastAsia="仿宋_GB2312" w:cstheme="minorBidi"/>
          <w:sz w:val="32"/>
          <w:szCs w:val="32"/>
          <w:highlight w:val="none"/>
          <w:lang w:val="en-US" w:eastAsia="zh-CN"/>
        </w:rPr>
        <w:t>隶属于</w:t>
      </w:r>
      <w:r>
        <w:rPr>
          <w:rFonts w:hint="eastAsia" w:ascii="Times New Roman" w:hAnsi="Times New Roman" w:eastAsia="仿宋_GB2312" w:cstheme="minorBidi"/>
          <w:sz w:val="32"/>
          <w:szCs w:val="32"/>
          <w:highlight w:val="none"/>
        </w:rPr>
        <w:t>：</w:t>
      </w:r>
      <w:r>
        <w:rPr>
          <w:rFonts w:hint="eastAsia" w:eastAsia="仿宋_GB2312"/>
          <w:sz w:val="32"/>
          <w:szCs w:val="32"/>
          <w:lang w:eastAsia="zh-CN"/>
        </w:rPr>
        <w:t>奈曼旗人力资源和社会保障局</w:t>
      </w:r>
      <w:r>
        <w:rPr>
          <w:rFonts w:hint="eastAsia"/>
          <w:sz w:val="32"/>
          <w:szCs w:val="32"/>
          <w:lang w:eastAsia="zh-CN"/>
        </w:rPr>
        <w:t>，</w:t>
      </w:r>
      <w:r>
        <w:rPr>
          <w:rFonts w:hint="eastAsia" w:ascii="Times New Roman" w:hAnsi="Times New Roman" w:eastAsia="仿宋_GB2312" w:cstheme="minorBidi"/>
          <w:sz w:val="32"/>
          <w:szCs w:val="32"/>
          <w:highlight w:val="none"/>
        </w:rPr>
        <w:t>内设机构包括</w:t>
      </w:r>
      <w:r>
        <w:rPr>
          <w:rFonts w:hint="eastAsia" w:ascii="Times New Roman" w:hAnsi="Times New Roman" w:eastAsia="仿宋_GB2312" w:cstheme="minorBidi"/>
          <w:sz w:val="32"/>
          <w:szCs w:val="32"/>
          <w:highlight w:val="none"/>
          <w:lang w:val="en-US" w:eastAsia="zh-CN"/>
        </w:rPr>
        <w:t>办公室、财务室、就业促进室等</w:t>
      </w:r>
      <w:r>
        <w:rPr>
          <w:rFonts w:hint="eastAsia" w:ascii="Times New Roman" w:hAnsi="Times New Roman" w:eastAsia="仿宋_GB2312" w:cstheme="minorBidi"/>
          <w:sz w:val="32"/>
          <w:szCs w:val="32"/>
          <w:highlight w:val="none"/>
        </w:rPr>
        <w:t>。本</w:t>
      </w:r>
      <w:r>
        <w:rPr>
          <w:rFonts w:hint="eastAsia" w:ascii="Times New Roman" w:hAnsi="Times New Roman" w:eastAsia="仿宋_GB2312" w:cstheme="minorBidi"/>
          <w:sz w:val="32"/>
          <w:szCs w:val="32"/>
          <w:highlight w:val="none"/>
          <w:lang w:eastAsia="zh-CN"/>
        </w:rPr>
        <w:t>单位</w:t>
      </w:r>
      <w:r>
        <w:rPr>
          <w:rFonts w:hint="eastAsia" w:ascii="Times New Roman" w:hAnsi="Times New Roman" w:eastAsia="仿宋_GB2312" w:cstheme="minorBidi"/>
          <w:sz w:val="32"/>
          <w:szCs w:val="32"/>
          <w:highlight w:val="none"/>
        </w:rPr>
        <w:t>无下属</w:t>
      </w:r>
      <w:r>
        <w:rPr>
          <w:rFonts w:hint="eastAsia" w:ascii="Times New Roman" w:hAnsi="Times New Roman" w:eastAsia="仿宋_GB2312" w:cstheme="minorBidi"/>
          <w:sz w:val="32"/>
          <w:szCs w:val="32"/>
          <w:highlight w:val="none"/>
          <w:lang w:eastAsia="zh-CN"/>
        </w:rPr>
        <w:t>单位。</w:t>
      </w:r>
      <w:r>
        <w:rPr>
          <w:rFonts w:hint="eastAsia" w:ascii="Times New Roman" w:hAnsi="Times New Roman" w:eastAsia="仿宋_GB2312"/>
          <w:sz w:val="32"/>
          <w:szCs w:val="32"/>
        </w:rPr>
        <w:t xml:space="preserve"> </w:t>
      </w:r>
      <w:permEnd w:id="6"/>
      <w:r>
        <w:rPr>
          <w:rFonts w:hint="eastAsia" w:ascii="Times New Roman" w:hAnsi="Times New Roman" w:eastAsia="仿宋_GB2312"/>
          <w:sz w:val="11"/>
          <w:szCs w:val="11"/>
        </w:rPr>
        <w:t xml:space="preserve"> </w:t>
      </w:r>
      <w:bookmarkEnd w:id="5"/>
    </w:p>
    <w:p w14:paraId="57863383">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奈曼旗人力资源和社会保障局（本级）</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bookmarkStart w:id="7" w:name="PO_part1Responsibilities3"/>
      <w:permStart w:id="8" w:edGrp="everyone"/>
      <w:r>
        <w:rPr>
          <w:rFonts w:hint="eastAsia" w:ascii="Times New Roman" w:hAnsi="Times New Roman" w:eastAsia="仿宋_GB2312"/>
          <w:sz w:val="32"/>
          <w:szCs w:val="32"/>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单位本级。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333AF661">
      <w:pPr>
        <w:pStyle w:val="9"/>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24E8AC45">
      <w:pPr>
        <w:spacing w:line="22" w:lineRule="exact"/>
      </w:pPr>
    </w:p>
    <w:tbl>
      <w:tblPr>
        <w:tblStyle w:val="14"/>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12C6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6C0A3AAB">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66AA05F4">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7D106855">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2CF9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05A556FC">
            <w:pPr>
              <w:spacing w:before="101" w:line="193" w:lineRule="auto"/>
              <w:ind w:left="265"/>
              <w:rPr>
                <w:rFonts w:ascii="Times New Roman" w:hAnsi="Times New Roman" w:eastAsia="宋体" w:cs="Times New Roman"/>
                <w:sz w:val="32"/>
                <w:szCs w:val="32"/>
              </w:rPr>
            </w:pPr>
            <w:bookmarkStart w:id="9" w:name="PO_part1A2B2Table1"/>
            <w:permStart w:id="10" w:edGrp="everyone"/>
            <w:r>
              <w:rPr>
                <w:rFonts w:hint="eastAsia" w:ascii="Times New Roman" w:hAnsi="Times New Roman" w:eastAsia="宋体" w:cs="Times New Roman"/>
                <w:sz w:val="32"/>
                <w:szCs w:val="32"/>
              </w:rPr>
              <w:t>1</w:t>
            </w:r>
          </w:p>
        </w:tc>
        <w:tc>
          <w:tcPr>
            <w:tcW w:w="3258" w:type="dxa"/>
            <w:vAlign w:val="center"/>
          </w:tcPr>
          <w:p w14:paraId="5582BF7E">
            <w:pPr>
              <w:spacing w:before="96" w:line="181" w:lineRule="auto"/>
              <w:ind w:left="114"/>
              <w:rPr>
                <w:rFonts w:hint="eastAsia" w:ascii="仿宋" w:hAnsi="仿宋" w:eastAsia="仿宋" w:cs="仿宋"/>
                <w:spacing w:val="-1"/>
                <w:sz w:val="32"/>
                <w:szCs w:val="32"/>
              </w:rPr>
            </w:pPr>
            <w:r>
              <w:rPr>
                <w:rFonts w:hint="eastAsia" w:ascii="仿宋_GB2312" w:eastAsia="仿宋_GB2312"/>
                <w:bCs/>
                <w:color w:val="000000"/>
                <w:sz w:val="32"/>
                <w:szCs w:val="32"/>
                <w:lang w:eastAsia="zh-CN"/>
              </w:rPr>
              <w:t>奈曼旗人力资源和社会保障局</w:t>
            </w:r>
            <w:r>
              <w:rPr>
                <w:rFonts w:hint="eastAsia" w:ascii="仿宋_GB2312" w:eastAsia="仿宋_GB2312"/>
                <w:bCs/>
                <w:color w:val="000000"/>
                <w:sz w:val="32"/>
                <w:szCs w:val="32"/>
              </w:rPr>
              <w:t>本级</w:t>
            </w:r>
          </w:p>
        </w:tc>
        <w:tc>
          <w:tcPr>
            <w:tcW w:w="4602" w:type="dxa"/>
            <w:vAlign w:val="center"/>
          </w:tcPr>
          <w:p w14:paraId="3AE01198">
            <w:pPr>
              <w:spacing w:before="51" w:line="212" w:lineRule="auto"/>
              <w:ind w:left="117"/>
              <w:rPr>
                <w:rFonts w:hint="eastAsia" w:ascii="仿宋" w:hAnsi="仿宋" w:eastAsia="仿宋" w:cs="仿宋"/>
                <w:spacing w:val="8"/>
                <w:sz w:val="32"/>
                <w:szCs w:val="32"/>
              </w:rPr>
            </w:pPr>
            <w:r>
              <w:rPr>
                <w:rFonts w:hint="eastAsia" w:ascii="仿宋_GB2312" w:eastAsia="仿宋_GB2312"/>
                <w:color w:val="000000"/>
                <w:sz w:val="32"/>
                <w:szCs w:val="32"/>
              </w:rPr>
              <w:t>财政拨款的行政单位</w:t>
            </w:r>
          </w:p>
        </w:tc>
      </w:tr>
      <w:bookmarkEnd w:id="9"/>
      <w:permEnd w:id="10"/>
    </w:tbl>
    <w:p w14:paraId="5F3DE6E7">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14:paraId="62969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highlight w:val="none"/>
          <w:lang w:val="en-US" w:eastAsia="zh-CN" w:bidi="ar-SA"/>
        </w:rPr>
      </w:pPr>
      <w:permStart w:id="11" w:edGrp="everyone"/>
      <w:bookmarkStart w:id="10" w:name="PO_part1A2B3Responsibilities1"/>
      <w:r>
        <w:rPr>
          <w:rFonts w:hint="eastAsia" w:ascii="Times New Roman" w:hAnsi="Times New Roman" w:eastAsia="仿宋_GB2312"/>
          <w:sz w:val="32"/>
          <w:szCs w:val="32"/>
        </w:rPr>
        <w:t>由</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202</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5</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年，全</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旗人力资源和社会保障工作要全面贯彻党的二十届三中全会精神，认真落实自治区、通辽市、奈曼旗经济工作会议精神和“两会”精神，以铸牢中华民族共同体意识为主线，全力办好“两件大事”，为奋力书写中国式现代化的奈曼新篇章贡献更加积极的人社力量。重点抓好“五大行动”：</w:t>
      </w:r>
      <w:r>
        <w:rPr>
          <w:rFonts w:hint="eastAsia" w:ascii="楷体" w:hAnsi="楷体" w:eastAsia="楷体" w:cs="楷体"/>
          <w:b/>
          <w:bCs/>
          <w:sz w:val="32"/>
          <w:szCs w:val="32"/>
          <w:lang w:eastAsia="zh-CN"/>
        </w:rPr>
        <w:t>（一）落实“就业促进行动”，推动实现高质量充分就业，</w:t>
      </w:r>
      <w:r>
        <w:rPr>
          <w:rFonts w:hint="eastAsia" w:ascii="楷体" w:hAnsi="楷体" w:eastAsia="楷体" w:cs="楷体"/>
          <w:b/>
          <w:bCs/>
          <w:color w:val="auto"/>
          <w:spacing w:val="-10"/>
          <w:kern w:val="2"/>
          <w:sz w:val="32"/>
          <w:szCs w:val="32"/>
          <w:highlight w:val="none"/>
          <w:u w:val="none"/>
          <w:lang w:val="en-US" w:eastAsia="zh-CN" w:bidi="ar-SA"/>
        </w:rPr>
        <w:t>（二）落实“社保惠民行动”，强化社会保障兜底。</w:t>
      </w:r>
      <w:r>
        <w:rPr>
          <w:rFonts w:hint="eastAsia" w:ascii="Times New Roman" w:hAnsi="Times New Roman" w:eastAsia="仿宋_GB2312" w:cs="Times New Roman"/>
          <w:b/>
          <w:bCs/>
          <w:color w:val="auto"/>
          <w:spacing w:val="0"/>
          <w:kern w:val="2"/>
          <w:sz w:val="32"/>
          <w:szCs w:val="32"/>
          <w:highlight w:val="none"/>
          <w:lang w:val="en-US" w:eastAsia="zh-CN" w:bidi="ar-SA"/>
        </w:rPr>
        <w:t>一是</w:t>
      </w:r>
      <w:r>
        <w:rPr>
          <w:rFonts w:hint="eastAsia" w:ascii="Times New Roman" w:hAnsi="Times New Roman" w:eastAsia="仿宋_GB2312" w:cs="Times New Roman"/>
          <w:b w:val="0"/>
          <w:bCs w:val="0"/>
          <w:color w:val="auto"/>
          <w:spacing w:val="0"/>
          <w:kern w:val="2"/>
          <w:sz w:val="32"/>
          <w:szCs w:val="32"/>
          <w:highlight w:val="none"/>
          <w:lang w:val="en-US" w:eastAsia="zh-CN" w:bidi="ar-SA"/>
        </w:rPr>
        <w:t>不断扩大基本养老保险覆盖面。实施基本养老保险“村村覆盖”工程，2025年全旗</w:t>
      </w:r>
      <w:r>
        <w:rPr>
          <w:rFonts w:hint="default" w:ascii="Times New Roman" w:hAnsi="Times New Roman" w:eastAsia="仿宋" w:cs="Times New Roman"/>
          <w:sz w:val="32"/>
          <w:szCs w:val="32"/>
          <w:lang w:val="en-US" w:eastAsia="zh-CN"/>
        </w:rPr>
        <w:t>基本养老保</w:t>
      </w:r>
      <w:r>
        <w:rPr>
          <w:rFonts w:hint="eastAsia" w:ascii="Times New Roman" w:hAnsi="Times New Roman" w:eastAsia="仿宋" w:cs="Times New Roman"/>
          <w:sz w:val="32"/>
          <w:szCs w:val="32"/>
          <w:lang w:val="en-US" w:eastAsia="zh-CN"/>
        </w:rPr>
        <w:t>险</w:t>
      </w:r>
      <w:r>
        <w:rPr>
          <w:rFonts w:hint="default" w:ascii="Times New Roman" w:hAnsi="Times New Roman" w:eastAsia="仿宋" w:cs="Times New Roman"/>
          <w:sz w:val="32"/>
          <w:szCs w:val="32"/>
          <w:lang w:val="en-US" w:eastAsia="zh-CN"/>
        </w:rPr>
        <w:t>参保率达到95%，</w:t>
      </w:r>
      <w:r>
        <w:rPr>
          <w:rFonts w:hint="default" w:ascii="Times New Roman" w:hAnsi="Times New Roman" w:eastAsia="仿宋_GB2312" w:cs="Times New Roman"/>
          <w:b w:val="0"/>
          <w:bCs w:val="0"/>
          <w:color w:val="auto"/>
          <w:spacing w:val="0"/>
          <w:kern w:val="2"/>
          <w:sz w:val="32"/>
          <w:szCs w:val="32"/>
          <w:highlight w:val="none"/>
          <w:lang w:val="en-US" w:eastAsia="zh-CN" w:bidi="ar-SA"/>
        </w:rPr>
        <w:t>完成</w:t>
      </w:r>
      <w:r>
        <w:rPr>
          <w:rFonts w:hint="eastAsia" w:ascii="仿宋_GB2312" w:hAnsi="仿宋_GB2312" w:eastAsia="仿宋_GB2312" w:cs="仿宋_GB2312"/>
          <w:b w:val="0"/>
          <w:bCs w:val="0"/>
          <w:color w:val="auto"/>
          <w:spacing w:val="0"/>
          <w:kern w:val="2"/>
          <w:sz w:val="32"/>
          <w:szCs w:val="32"/>
          <w:highlight w:val="none"/>
          <w:lang w:val="en-US" w:eastAsia="zh-CN" w:bidi="ar-SA"/>
        </w:rPr>
        <w:t>“十四五”</w:t>
      </w:r>
      <w:r>
        <w:rPr>
          <w:rFonts w:hint="default" w:ascii="Times New Roman" w:hAnsi="Times New Roman" w:eastAsia="仿宋_GB2312" w:cs="Times New Roman"/>
          <w:b w:val="0"/>
          <w:bCs w:val="0"/>
          <w:color w:val="auto"/>
          <w:spacing w:val="0"/>
          <w:kern w:val="2"/>
          <w:sz w:val="32"/>
          <w:szCs w:val="32"/>
          <w:highlight w:val="none"/>
          <w:lang w:val="en-US" w:eastAsia="zh-CN" w:bidi="ar-SA"/>
        </w:rPr>
        <w:t>目标</w:t>
      </w:r>
      <w:r>
        <w:rPr>
          <w:rFonts w:hint="eastAsia" w:ascii="Times New Roman" w:hAnsi="Times New Roman"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Times New Roman"/>
          <w:b/>
          <w:bCs/>
          <w:color w:val="auto"/>
          <w:spacing w:val="0"/>
          <w:kern w:val="2"/>
          <w:sz w:val="32"/>
          <w:szCs w:val="32"/>
          <w:highlight w:val="none"/>
          <w:lang w:val="en-US" w:eastAsia="zh-CN" w:bidi="ar-SA"/>
        </w:rPr>
        <w:t>二是</w:t>
      </w:r>
      <w:r>
        <w:rPr>
          <w:rFonts w:hint="eastAsia" w:ascii="Times New Roman" w:hAnsi="Times New Roman" w:eastAsia="仿宋_GB2312" w:cs="Times New Roman"/>
          <w:b w:val="0"/>
          <w:bCs w:val="0"/>
          <w:color w:val="auto"/>
          <w:spacing w:val="0"/>
          <w:kern w:val="2"/>
          <w:sz w:val="32"/>
          <w:szCs w:val="32"/>
          <w:highlight w:val="none"/>
          <w:lang w:val="en-US" w:eastAsia="zh-CN" w:bidi="ar-SA"/>
        </w:rPr>
        <w:t>稳妥推进社保制度改革。落实延迟退休改革任务、</w:t>
      </w:r>
      <w:r>
        <w:rPr>
          <w:rFonts w:hint="default" w:ascii="Times New Roman" w:hAnsi="Times New Roman" w:eastAsia="仿宋_GB2312" w:cs="Times New Roman"/>
          <w:b w:val="0"/>
          <w:bCs w:val="0"/>
          <w:color w:val="auto"/>
          <w:spacing w:val="0"/>
          <w:kern w:val="2"/>
          <w:sz w:val="32"/>
          <w:szCs w:val="32"/>
          <w:highlight w:val="none"/>
          <w:lang w:val="en-US" w:eastAsia="zh-CN" w:bidi="ar-SA"/>
        </w:rPr>
        <w:t>企业职工基本养老保险全国统筹制度</w:t>
      </w:r>
      <w:r>
        <w:rPr>
          <w:rFonts w:hint="eastAsia" w:ascii="Times New Roman" w:hAnsi="Times New Roman" w:eastAsia="仿宋_GB2312" w:cs="Times New Roman"/>
          <w:b w:val="0"/>
          <w:bCs w:val="0"/>
          <w:color w:val="auto"/>
          <w:spacing w:val="0"/>
          <w:kern w:val="2"/>
          <w:sz w:val="32"/>
          <w:szCs w:val="32"/>
          <w:highlight w:val="none"/>
          <w:lang w:val="en-US" w:eastAsia="zh-CN" w:bidi="ar-SA"/>
        </w:rPr>
        <w:t>，扩大企业年金覆盖面，完成全旗国企企业年金覆盖任务。</w:t>
      </w:r>
      <w:r>
        <w:rPr>
          <w:rFonts w:hint="eastAsia" w:ascii="仿宋_GB2312" w:hAnsi="仿宋_GB2312" w:eastAsia="仿宋_GB2312" w:cs="仿宋_GB2312"/>
          <w:b w:val="0"/>
          <w:bCs w:val="0"/>
          <w:sz w:val="32"/>
          <w:szCs w:val="32"/>
          <w:lang w:val="en-US" w:eastAsia="zh-CN"/>
        </w:rPr>
        <w:t>全面推进</w:t>
      </w:r>
      <w:r>
        <w:rPr>
          <w:rFonts w:hint="eastAsia" w:ascii="Times New Roman" w:hAnsi="Times New Roman" w:eastAsia="仿宋_GB2312" w:cs="Times New Roman"/>
          <w:b w:val="0"/>
          <w:bCs w:val="0"/>
          <w:color w:val="auto"/>
          <w:spacing w:val="0"/>
          <w:kern w:val="2"/>
          <w:sz w:val="32"/>
          <w:szCs w:val="32"/>
          <w:highlight w:val="none"/>
          <w:lang w:val="en-US" w:eastAsia="zh-CN" w:bidi="ar-SA"/>
        </w:rPr>
        <w:t>基本养老保险集体补助和社会资助工作，进一步</w:t>
      </w:r>
      <w:r>
        <w:rPr>
          <w:rFonts w:hint="default" w:ascii="Times New Roman" w:hAnsi="Times New Roman" w:eastAsia="仿宋_GB2312" w:cs="Times New Roman"/>
          <w:b w:val="0"/>
          <w:bCs w:val="0"/>
          <w:color w:val="auto"/>
          <w:spacing w:val="0"/>
          <w:kern w:val="2"/>
          <w:sz w:val="32"/>
          <w:szCs w:val="32"/>
          <w:highlight w:val="none"/>
          <w:lang w:val="en-US" w:eastAsia="zh-CN" w:bidi="ar-SA"/>
        </w:rPr>
        <w:t>提高保障水平。</w:t>
      </w:r>
      <w:r>
        <w:rPr>
          <w:rFonts w:hint="eastAsia" w:ascii="Times New Roman" w:hAnsi="Times New Roman" w:eastAsia="仿宋_GB2312" w:cs="Times New Roman"/>
          <w:b/>
          <w:bCs/>
          <w:color w:val="auto"/>
          <w:spacing w:val="0"/>
          <w:kern w:val="2"/>
          <w:sz w:val="32"/>
          <w:szCs w:val="32"/>
          <w:highlight w:val="none"/>
          <w:lang w:val="en-US" w:eastAsia="zh-CN" w:bidi="ar-SA"/>
        </w:rPr>
        <w:t>三是</w:t>
      </w:r>
      <w:r>
        <w:rPr>
          <w:rFonts w:hint="eastAsia" w:ascii="Times New Roman" w:hAnsi="Times New Roman" w:eastAsia="仿宋_GB2312" w:cs="Times New Roman"/>
          <w:b w:val="0"/>
          <w:bCs w:val="0"/>
          <w:color w:val="auto"/>
          <w:spacing w:val="0"/>
          <w:kern w:val="2"/>
          <w:sz w:val="32"/>
          <w:szCs w:val="32"/>
          <w:highlight w:val="none"/>
          <w:lang w:val="en-US" w:eastAsia="zh-CN" w:bidi="ar-SA"/>
        </w:rPr>
        <w:t>持续加强社保基金管理。开展基金资金监管专项行动，健全完善内控制度，坚决防止“跑、冒、滴、漏”，确保基金安全稳定运行，各项待遇按时足额发放。</w:t>
      </w:r>
      <w:r>
        <w:rPr>
          <w:rFonts w:hint="eastAsia" w:ascii="Times New Roman" w:hAnsi="Times New Roman" w:eastAsia="仿宋_GB2312" w:cs="Times New Roman"/>
          <w:b/>
          <w:bCs/>
          <w:color w:val="auto"/>
          <w:spacing w:val="0"/>
          <w:kern w:val="2"/>
          <w:sz w:val="32"/>
          <w:szCs w:val="32"/>
          <w:highlight w:val="none"/>
          <w:lang w:val="en-US" w:eastAsia="zh-CN" w:bidi="ar-SA"/>
        </w:rPr>
        <w:t>四是</w:t>
      </w:r>
      <w:r>
        <w:rPr>
          <w:rFonts w:hint="eastAsia" w:ascii="Times New Roman" w:hAnsi="Times New Roman" w:eastAsia="仿宋_GB2312" w:cs="Times New Roman"/>
          <w:b w:val="0"/>
          <w:bCs w:val="0"/>
          <w:color w:val="auto"/>
          <w:spacing w:val="0"/>
          <w:kern w:val="2"/>
          <w:sz w:val="32"/>
          <w:szCs w:val="32"/>
          <w:highlight w:val="none"/>
          <w:lang w:val="en-US" w:eastAsia="zh-CN" w:bidi="ar-SA"/>
        </w:rPr>
        <w:t>做好工伤预防工作。深入开展</w:t>
      </w:r>
      <w:r>
        <w:rPr>
          <w:rFonts w:hint="eastAsia"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Times New Roman"/>
          <w:b w:val="0"/>
          <w:bCs w:val="0"/>
          <w:color w:val="auto"/>
          <w:spacing w:val="0"/>
          <w:kern w:val="2"/>
          <w:sz w:val="32"/>
          <w:szCs w:val="32"/>
          <w:highlight w:val="none"/>
          <w:lang w:val="en-US" w:eastAsia="zh-CN" w:bidi="ar-SA"/>
        </w:rPr>
        <w:t>四行业三类人员</w:t>
      </w:r>
      <w:r>
        <w:rPr>
          <w:rFonts w:hint="eastAsia"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Times New Roman"/>
          <w:b w:val="0"/>
          <w:bCs w:val="0"/>
          <w:color w:val="auto"/>
          <w:spacing w:val="0"/>
          <w:kern w:val="2"/>
          <w:sz w:val="32"/>
          <w:szCs w:val="32"/>
          <w:highlight w:val="none"/>
          <w:lang w:val="en-US" w:eastAsia="zh-CN" w:bidi="ar-SA"/>
        </w:rPr>
        <w:t>工伤预防培训，进一步降低工伤事故发生率。继续扩大补充工伤保险覆盖范围，为劳动者提供更多安全保障。</w:t>
      </w:r>
    </w:p>
    <w:p w14:paraId="67AA71D1">
      <w:pPr>
        <w:spacing w:line="600" w:lineRule="exact"/>
        <w:ind w:firstLine="603" w:firstLineChars="200"/>
        <w:rPr>
          <w:rFonts w:ascii="Times New Roman" w:hAnsi="Times New Roman" w:eastAsia="仿宋_GB2312"/>
          <w:sz w:val="11"/>
          <w:szCs w:val="11"/>
        </w:rPr>
      </w:pPr>
      <w:r>
        <w:rPr>
          <w:rFonts w:hint="eastAsia" w:ascii="楷体" w:hAnsi="楷体" w:eastAsia="楷体" w:cs="楷体"/>
          <w:b/>
          <w:bCs/>
          <w:color w:val="auto"/>
          <w:spacing w:val="-10"/>
          <w:kern w:val="2"/>
          <w:sz w:val="32"/>
          <w:szCs w:val="32"/>
          <w:highlight w:val="none"/>
          <w:lang w:val="en-US" w:eastAsia="zh-CN" w:bidi="ar-SA"/>
        </w:rPr>
        <w:t>（三）落实“人才强旗行动”，增强人才支撑发展能力</w:t>
      </w:r>
      <w:r>
        <w:rPr>
          <w:rFonts w:hint="eastAsia" w:ascii="楷体" w:hAnsi="楷体" w:eastAsia="楷体" w:cs="楷体"/>
          <w:b/>
          <w:bCs/>
          <w:color w:val="auto"/>
          <w:spacing w:val="-10"/>
          <w:kern w:val="2"/>
          <w:sz w:val="32"/>
          <w:szCs w:val="32"/>
          <w:highlight w:val="none"/>
          <w:lang w:val="en-US" w:eastAsia="zh-CN"/>
        </w:rPr>
        <w:t>。</w:t>
      </w:r>
      <w:r>
        <w:rPr>
          <w:rFonts w:hint="eastAsia" w:ascii="Times New Roman" w:hAnsi="Times New Roman" w:eastAsia="仿宋_GB2312" w:cs="Times New Roman"/>
          <w:b/>
          <w:bCs/>
          <w:color w:val="auto"/>
          <w:spacing w:val="0"/>
          <w:kern w:val="2"/>
          <w:sz w:val="32"/>
          <w:szCs w:val="32"/>
          <w:highlight w:val="none"/>
          <w:lang w:val="en-US" w:eastAsia="zh-CN" w:bidi="ar-SA"/>
        </w:rPr>
        <w:t>一是</w:t>
      </w:r>
      <w:r>
        <w:rPr>
          <w:rFonts w:hint="eastAsia" w:ascii="Times New Roman" w:hAnsi="Times New Roman" w:eastAsia="仿宋_GB2312" w:cs="Times New Roman"/>
          <w:b w:val="0"/>
          <w:bCs w:val="0"/>
          <w:color w:val="auto"/>
          <w:spacing w:val="0"/>
          <w:kern w:val="2"/>
          <w:sz w:val="32"/>
          <w:szCs w:val="32"/>
          <w:highlight w:val="none"/>
          <w:lang w:val="en-US" w:eastAsia="zh-CN" w:bidi="ar-SA"/>
        </w:rPr>
        <w:t>畅通</w:t>
      </w:r>
      <w:r>
        <w:rPr>
          <w:rFonts w:hint="default" w:ascii="Times New Roman" w:hAnsi="Times New Roman" w:eastAsia="仿宋_GB2312" w:cs="Times New Roman"/>
          <w:b w:val="0"/>
          <w:bCs w:val="0"/>
          <w:color w:val="auto"/>
          <w:spacing w:val="0"/>
          <w:kern w:val="2"/>
          <w:sz w:val="32"/>
          <w:szCs w:val="32"/>
          <w:highlight w:val="none"/>
          <w:lang w:val="en-US" w:eastAsia="zh-CN" w:bidi="ar-SA"/>
        </w:rPr>
        <w:t>公开招聘</w:t>
      </w:r>
      <w:r>
        <w:rPr>
          <w:rFonts w:hint="eastAsia" w:ascii="Times New Roman" w:hAnsi="Times New Roman" w:eastAsia="仿宋_GB2312" w:cs="Times New Roman"/>
          <w:b w:val="0"/>
          <w:bCs w:val="0"/>
          <w:color w:val="auto"/>
          <w:spacing w:val="0"/>
          <w:kern w:val="2"/>
          <w:sz w:val="32"/>
          <w:szCs w:val="32"/>
          <w:highlight w:val="none"/>
          <w:lang w:val="en-US" w:eastAsia="zh-CN" w:bidi="ar-SA"/>
        </w:rPr>
        <w:t>渠道</w:t>
      </w:r>
      <w:r>
        <w:rPr>
          <w:rFonts w:hint="default" w:ascii="Times New Roman" w:hAnsi="Times New Roman"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Times New Roman"/>
          <w:b w:val="0"/>
          <w:bCs w:val="0"/>
          <w:color w:val="auto"/>
          <w:spacing w:val="0"/>
          <w:kern w:val="2"/>
          <w:sz w:val="32"/>
          <w:szCs w:val="32"/>
          <w:highlight w:val="none"/>
          <w:lang w:val="en-US" w:eastAsia="zh-CN" w:bidi="ar-SA"/>
        </w:rPr>
        <w:t>精心组织，周密安排，完成年度事业单位人员招聘任务，用好用足编制和专项招聘政策。</w:t>
      </w:r>
      <w:r>
        <w:rPr>
          <w:rFonts w:hint="eastAsia" w:ascii="Times New Roman" w:hAnsi="Times New Roman" w:eastAsia="仿宋_GB2312" w:cs="Times New Roman"/>
          <w:b/>
          <w:bCs/>
          <w:color w:val="auto"/>
          <w:spacing w:val="0"/>
          <w:kern w:val="2"/>
          <w:sz w:val="32"/>
          <w:szCs w:val="32"/>
          <w:highlight w:val="none"/>
          <w:lang w:val="en-US" w:eastAsia="zh-CN" w:bidi="ar-SA"/>
        </w:rPr>
        <w:t>二是</w:t>
      </w:r>
      <w:r>
        <w:rPr>
          <w:rFonts w:hint="eastAsia" w:ascii="Times New Roman" w:hAnsi="Times New Roman" w:eastAsia="仿宋_GB2312" w:cs="Times New Roman"/>
          <w:b w:val="0"/>
          <w:bCs w:val="0"/>
          <w:color w:val="auto"/>
          <w:spacing w:val="0"/>
          <w:kern w:val="2"/>
          <w:sz w:val="32"/>
          <w:szCs w:val="32"/>
          <w:highlight w:val="none"/>
          <w:lang w:val="en-US" w:eastAsia="zh-CN" w:bidi="ar-SA"/>
        </w:rPr>
        <w:t>加大</w:t>
      </w:r>
      <w:r>
        <w:rPr>
          <w:rFonts w:hint="eastAsia" w:ascii="Times New Roman" w:hAnsi="Times New Roman" w:eastAsia="仿宋_GB2312" w:cs="Times New Roman"/>
          <w:b w:val="0"/>
          <w:bCs w:val="0"/>
          <w:color w:val="auto"/>
          <w:spacing w:val="0"/>
          <w:kern w:val="2"/>
          <w:sz w:val="32"/>
          <w:szCs w:val="32"/>
          <w:highlight w:val="none"/>
          <w:lang w:val="en" w:eastAsia="zh-CN" w:bidi="ar-SA"/>
        </w:rPr>
        <w:t>人才引进</w:t>
      </w:r>
      <w:r>
        <w:rPr>
          <w:rFonts w:hint="eastAsia" w:ascii="Times New Roman" w:hAnsi="Times New Roman" w:eastAsia="仿宋_GB2312" w:cs="Times New Roman"/>
          <w:b w:val="0"/>
          <w:bCs w:val="0"/>
          <w:color w:val="auto"/>
          <w:spacing w:val="0"/>
          <w:kern w:val="2"/>
          <w:sz w:val="32"/>
          <w:szCs w:val="32"/>
          <w:highlight w:val="none"/>
          <w:lang w:val="en-US" w:eastAsia="zh-CN" w:bidi="ar-SA"/>
        </w:rPr>
        <w:t>力度，完成年度人才引进任务。</w:t>
      </w:r>
      <w:r>
        <w:rPr>
          <w:rFonts w:hint="eastAsia" w:ascii="Times New Roman" w:hAnsi="Times New Roman" w:eastAsia="仿宋_GB2312" w:cs="Times New Roman"/>
          <w:b/>
          <w:bCs/>
          <w:color w:val="auto"/>
          <w:spacing w:val="0"/>
          <w:kern w:val="2"/>
          <w:sz w:val="32"/>
          <w:szCs w:val="32"/>
          <w:highlight w:val="none"/>
          <w:lang w:val="en-US" w:eastAsia="zh-CN" w:bidi="ar-SA"/>
        </w:rPr>
        <w:t>三是</w:t>
      </w:r>
      <w:r>
        <w:rPr>
          <w:rFonts w:hint="eastAsia" w:ascii="Times New Roman" w:hAnsi="Times New Roman" w:eastAsia="仿宋_GB2312" w:cs="Times New Roman"/>
          <w:b w:val="0"/>
          <w:bCs w:val="0"/>
          <w:color w:val="auto"/>
          <w:spacing w:val="0"/>
          <w:kern w:val="2"/>
          <w:sz w:val="32"/>
          <w:szCs w:val="32"/>
          <w:highlight w:val="none"/>
          <w:lang w:val="en-US" w:eastAsia="zh-CN" w:bidi="ar-SA"/>
        </w:rPr>
        <w:t>加强事业单位人事管理。</w:t>
      </w:r>
      <w:r>
        <w:rPr>
          <w:rFonts w:hint="default" w:ascii="Times New Roman" w:hAnsi="Times New Roman" w:eastAsia="仿宋_GB2312" w:cs="Times New Roman"/>
          <w:b w:val="0"/>
          <w:bCs w:val="0"/>
          <w:color w:val="auto"/>
          <w:spacing w:val="0"/>
          <w:kern w:val="2"/>
          <w:sz w:val="32"/>
          <w:szCs w:val="32"/>
          <w:highlight w:val="none"/>
          <w:lang w:val="en-US" w:eastAsia="zh-CN" w:bidi="ar-SA"/>
        </w:rPr>
        <w:t>精准选择中</w:t>
      </w:r>
      <w:r>
        <w:rPr>
          <w:rFonts w:hint="eastAsia" w:ascii="Times New Roman" w:hAnsi="Times New Roman" w:eastAsia="仿宋_GB2312" w:cs="Times New Roman"/>
          <w:b w:val="0"/>
          <w:bCs w:val="0"/>
          <w:color w:val="auto"/>
          <w:spacing w:val="0"/>
          <w:kern w:val="2"/>
          <w:sz w:val="32"/>
          <w:szCs w:val="32"/>
          <w:highlight w:val="none"/>
          <w:lang w:val="en-US" w:eastAsia="zh-CN" w:bidi="ar-SA"/>
        </w:rPr>
        <w:t>、</w:t>
      </w:r>
      <w:r>
        <w:rPr>
          <w:rFonts w:hint="default" w:ascii="Times New Roman" w:hAnsi="Times New Roman" w:eastAsia="仿宋_GB2312" w:cs="Times New Roman"/>
          <w:b w:val="0"/>
          <w:bCs w:val="0"/>
          <w:color w:val="auto"/>
          <w:spacing w:val="0"/>
          <w:kern w:val="2"/>
          <w:sz w:val="32"/>
          <w:szCs w:val="32"/>
          <w:highlight w:val="none"/>
          <w:lang w:val="en-US" w:eastAsia="zh-CN" w:bidi="ar-SA"/>
        </w:rPr>
        <w:t>初级专业技术岗位统筹使用试点单位，</w:t>
      </w:r>
      <w:r>
        <w:rPr>
          <w:rFonts w:hint="eastAsia" w:ascii="Times New Roman" w:hAnsi="Times New Roman" w:eastAsia="仿宋_GB2312" w:cs="Times New Roman"/>
          <w:b w:val="0"/>
          <w:bCs w:val="0"/>
          <w:color w:val="auto"/>
          <w:spacing w:val="0"/>
          <w:kern w:val="2"/>
          <w:sz w:val="32"/>
          <w:szCs w:val="32"/>
          <w:highlight w:val="none"/>
          <w:lang w:val="en-US" w:eastAsia="zh-CN" w:bidi="ar-SA"/>
        </w:rPr>
        <w:t>推广复制职称“周转池”经验做法，在严守政策底线的同时，激发干部担当作为</w:t>
      </w:r>
      <w:r>
        <w:rPr>
          <w:rFonts w:hint="default" w:ascii="Times New Roman" w:hAnsi="Times New Roman" w:eastAsia="仿宋_GB2312" w:cs="Times New Roman"/>
          <w:b w:val="0"/>
          <w:bCs w:val="0"/>
          <w:color w:val="auto"/>
          <w:spacing w:val="0"/>
          <w:kern w:val="2"/>
          <w:sz w:val="32"/>
          <w:szCs w:val="32"/>
          <w:highlight w:val="none"/>
          <w:lang w:val="en-US" w:eastAsia="zh-CN" w:bidi="ar-SA"/>
        </w:rPr>
        <w:t>。</w:t>
      </w:r>
      <w:r>
        <w:rPr>
          <w:rFonts w:hint="eastAsia" w:ascii="Times New Roman" w:hAnsi="Times New Roman" w:eastAsia="仿宋_GB2312" w:cs="Times New Roman"/>
          <w:b w:val="0"/>
          <w:bCs w:val="0"/>
          <w:color w:val="auto"/>
          <w:spacing w:val="0"/>
          <w:kern w:val="2"/>
          <w:sz w:val="32"/>
          <w:szCs w:val="32"/>
          <w:highlight w:val="none"/>
          <w:lang w:val="en-US" w:eastAsia="zh-CN" w:bidi="ar-SA"/>
        </w:rPr>
        <w:t>对事业单位新进人员开展全覆盖培训。</w:t>
      </w:r>
      <w:r>
        <w:rPr>
          <w:rFonts w:hint="eastAsia" w:ascii="Times New Roman" w:hAnsi="Times New Roman" w:eastAsia="仿宋_GB2312" w:cs="Times New Roman"/>
          <w:b/>
          <w:bCs/>
          <w:color w:val="auto"/>
          <w:spacing w:val="0"/>
          <w:kern w:val="2"/>
          <w:sz w:val="32"/>
          <w:szCs w:val="32"/>
          <w:highlight w:val="none"/>
          <w:lang w:val="en-US" w:eastAsia="zh-CN" w:bidi="ar-SA"/>
        </w:rPr>
        <w:t>四</w:t>
      </w:r>
      <w:r>
        <w:rPr>
          <w:rFonts w:hint="eastAsia" w:ascii="仿宋_GB2312" w:hAnsi="仿宋_GB2312" w:eastAsia="仿宋_GB2312" w:cs="仿宋_GB2312"/>
          <w:b/>
          <w:bCs/>
          <w:sz w:val="32"/>
          <w:szCs w:val="40"/>
          <w:lang w:eastAsia="zh-CN"/>
        </w:rPr>
        <w:t>是</w:t>
      </w:r>
      <w:r>
        <w:rPr>
          <w:rFonts w:hint="eastAsia" w:ascii="仿宋_GB2312" w:hAnsi="仿宋_GB2312" w:eastAsia="仿宋_GB2312" w:cs="仿宋_GB2312"/>
          <w:b w:val="0"/>
          <w:bCs w:val="0"/>
          <w:sz w:val="32"/>
          <w:szCs w:val="40"/>
          <w:lang w:eastAsia="zh-CN"/>
        </w:rPr>
        <w:t>加强</w:t>
      </w:r>
      <w:r>
        <w:rPr>
          <w:rFonts w:hint="eastAsia" w:ascii="仿宋_GB2312" w:hAnsi="仿宋_GB2312" w:eastAsia="仿宋_GB2312" w:cs="仿宋_GB2312"/>
          <w:sz w:val="32"/>
          <w:szCs w:val="40"/>
          <w:lang w:eastAsia="zh-CN"/>
        </w:rPr>
        <w:t>技能人才队伍建设</w:t>
      </w:r>
      <w:r>
        <w:rPr>
          <w:rFonts w:hint="default"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eastAsia="zh-CN"/>
        </w:rPr>
        <w:t>大力推进</w:t>
      </w:r>
      <w:r>
        <w:rPr>
          <w:rFonts w:hint="default" w:ascii="Times New Roman" w:hAnsi="Times New Roman" w:eastAsia="仿宋_GB2312" w:cs="Times New Roman"/>
          <w:sz w:val="32"/>
          <w:szCs w:val="40"/>
        </w:rPr>
        <w:t>技能人才</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高技能人才</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技师、高级技师</w:t>
      </w:r>
      <w:r>
        <w:rPr>
          <w:rFonts w:hint="eastAsia" w:ascii="Times New Roman" w:hAnsi="Times New Roman" w:eastAsia="仿宋_GB2312" w:cs="Times New Roman"/>
          <w:sz w:val="32"/>
          <w:szCs w:val="40"/>
          <w:lang w:eastAsia="zh-CN"/>
        </w:rPr>
        <w:t>人员增长</w:t>
      </w:r>
      <w:r>
        <w:rPr>
          <w:rFonts w:hint="default" w:ascii="Times New Roman" w:hAnsi="Times New Roman" w:eastAsia="仿宋_GB2312" w:cs="Times New Roman"/>
          <w:sz w:val="32"/>
          <w:szCs w:val="40"/>
          <w:lang w:eastAsia="zh-CN"/>
        </w:rPr>
        <w:t>。</w:t>
      </w:r>
      <w:r>
        <w:rPr>
          <w:rFonts w:hint="eastAsia" w:ascii="Times New Roman" w:hAnsi="Times New Roman" w:eastAsia="仿宋_GB2312" w:cs="Times New Roman"/>
          <w:b/>
          <w:bCs/>
          <w:color w:val="auto"/>
          <w:spacing w:val="0"/>
          <w:kern w:val="2"/>
          <w:sz w:val="32"/>
          <w:szCs w:val="32"/>
          <w:highlight w:val="none"/>
          <w:lang w:val="en-US" w:eastAsia="zh-CN" w:bidi="ar-SA"/>
        </w:rPr>
        <w:t>五是</w:t>
      </w:r>
      <w:r>
        <w:rPr>
          <w:rFonts w:hint="eastAsia" w:ascii="Times New Roman" w:hAnsi="Times New Roman" w:eastAsia="仿宋_GB2312" w:cs="Times New Roman"/>
          <w:b w:val="0"/>
          <w:bCs w:val="0"/>
          <w:color w:val="auto"/>
          <w:spacing w:val="0"/>
          <w:kern w:val="2"/>
          <w:sz w:val="32"/>
          <w:szCs w:val="32"/>
          <w:highlight w:val="none"/>
          <w:lang w:val="en-US" w:eastAsia="zh-CN" w:bidi="ar-SA"/>
        </w:rPr>
        <w:t>创新职称评审监管模式，提高职称评审透明性和公正性</w:t>
      </w:r>
      <w:r>
        <w:rPr>
          <w:rFonts w:hint="eastAsia" w:ascii="Times New Roman" w:hAnsi="Times New Roman" w:eastAsia="仿宋_GB2312"/>
          <w:sz w:val="32"/>
          <w:szCs w:val="32"/>
        </w:rPr>
        <w:t>。</w:t>
      </w:r>
      <w:permEnd w:id="11"/>
    </w:p>
    <w:bookmarkEnd w:id="10"/>
    <w:p w14:paraId="6C1C8AEC">
      <w:pPr>
        <w:spacing w:line="600" w:lineRule="exact"/>
        <w:jc w:val="center"/>
        <w:outlineLvl w:val="1"/>
        <w:rPr>
          <w:rFonts w:hint="eastAsia" w:ascii="方正小标宋简体" w:hAnsi="方正小标宋简体" w:eastAsia="方正小标宋简体" w:cs="方正小标宋简体"/>
          <w:sz w:val="36"/>
          <w:szCs w:val="36"/>
        </w:rPr>
      </w:pPr>
    </w:p>
    <w:p w14:paraId="455C1D95">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w:t>
      </w:r>
      <w:r>
        <w:rPr>
          <w:rFonts w:hint="eastAsia" w:ascii="黑体" w:hAnsi="黑体" w:eastAsia="黑体" w:cs="黑体"/>
          <w:sz w:val="36"/>
          <w:szCs w:val="36"/>
          <w:lang w:val="en-US" w:eastAsia="zh-CN"/>
        </w:rPr>
        <w:t>单位</w:t>
      </w:r>
      <w:r>
        <w:rPr>
          <w:rFonts w:hint="eastAsia" w:ascii="黑体" w:hAnsi="黑体" w:eastAsia="黑体" w:cs="黑体"/>
          <w:sz w:val="36"/>
          <w:szCs w:val="36"/>
        </w:rPr>
        <w:t>预算情况说明</w:t>
      </w:r>
    </w:p>
    <w:p w14:paraId="2CC75AA0">
      <w:pPr>
        <w:pStyle w:val="5"/>
        <w:spacing w:line="327" w:lineRule="auto"/>
      </w:pPr>
    </w:p>
    <w:p w14:paraId="1D6BF05D">
      <w:pPr>
        <w:spacing w:line="600" w:lineRule="exact"/>
        <w:ind w:firstLine="640" w:firstLineChars="200"/>
        <w:outlineLvl w:val="2"/>
      </w:pPr>
      <w:r>
        <w:rPr>
          <w:rFonts w:hint="eastAsia" w:eastAsia="黑体" w:cs="黑体"/>
          <w:sz w:val="32"/>
          <w:szCs w:val="36"/>
        </w:rPr>
        <w:t>一、收支预算总体情况说明</w:t>
      </w:r>
    </w:p>
    <w:p w14:paraId="1222F4DC">
      <w:pPr>
        <w:spacing w:before="227" w:line="357" w:lineRule="auto"/>
        <w:ind w:left="11" w:firstLine="634"/>
        <w:rPr>
          <w:rFonts w:hint="eastAsia" w:ascii="仿宋" w:hAnsi="仿宋" w:eastAsia="仿宋" w:cs="仿宋"/>
          <w:sz w:val="31"/>
          <w:szCs w:val="31"/>
        </w:rPr>
      </w:pPr>
      <w:bookmarkStart w:id="11" w:name="PO_part2AAmount"/>
      <w:permStart w:id="12" w:edGrp="everyone"/>
      <w:r>
        <w:rPr>
          <w:rFonts w:hint="eastAsia" w:ascii="Times New Roman" w:hAnsi="Times New Roman" w:eastAsia="仿宋_GB2312"/>
          <w:sz w:val="32"/>
          <w:szCs w:val="32"/>
        </w:rPr>
        <w:t>奈曼旗人力资源和社会保障局（本级）</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668.86</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bookmarkStart w:id="13" w:name="PO_part2AIncReason1"/>
      <w:permStart w:id="14" w:edGrp="everyone"/>
      <w:r>
        <w:rPr>
          <w:rFonts w:hint="eastAsia" w:ascii="Times New Roman" w:hAnsi="Times New Roman" w:eastAsia="仿宋_GB2312"/>
          <w:sz w:val="32"/>
          <w:szCs w:val="32"/>
        </w:rPr>
        <w:t>减少177.67万元，下降20.99%</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444DA443">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668.86</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1F32440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5" w:name="PO_part2ABAmount2"/>
      <w:permStart w:id="16" w:edGrp="everyone"/>
      <w:r>
        <w:rPr>
          <w:rFonts w:hint="eastAsia" w:ascii="Times New Roman" w:hAnsi="Times New Roman" w:eastAsia="仿宋_GB2312"/>
          <w:sz w:val="32"/>
          <w:szCs w:val="32"/>
        </w:rPr>
        <w:t>668.86</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7360FBA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permStart w:id="17" w:edGrp="everyone"/>
      <w:bookmarkStart w:id="16" w:name="PO_part2ABAmount3"/>
      <w:r>
        <w:rPr>
          <w:rFonts w:hint="eastAsia" w:ascii="Times New Roman" w:hAnsi="Times New Roman" w:eastAsia="仿宋_GB2312"/>
          <w:sz w:val="32"/>
          <w:szCs w:val="32"/>
        </w:rPr>
        <w:t>668.86</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bookmarkStart w:id="17" w:name="PO_part2ABAmount4"/>
      <w:permStart w:id="18" w:edGrp="everyone"/>
      <w:r>
        <w:rPr>
          <w:rFonts w:hint="eastAsia" w:ascii="Times New Roman" w:hAnsi="Times New Roman" w:eastAsia="仿宋_GB2312"/>
          <w:sz w:val="32"/>
          <w:szCs w:val="32"/>
        </w:rPr>
        <w:t>减少177.67万元，下降20.99%</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permStart w:id="19" w:edGrp="everyone"/>
      <w:bookmarkStart w:id="18" w:name="PO_part2ABReason1"/>
      <w:r>
        <w:rPr>
          <w:rFonts w:hint="eastAsia" w:ascii="Times New Roman" w:hAnsi="Times New Roman" w:eastAsia="仿宋_GB2312"/>
          <w:sz w:val="32"/>
          <w:szCs w:val="32"/>
          <w:lang w:val="en-US" w:eastAsia="zh-CN"/>
        </w:rPr>
        <w:t>2025年度比2024年减少了储备人才、和协理员补助的预算</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0375C70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bookmarkStart w:id="19" w:name="PO_part2ABAmount5"/>
      <w:permStart w:id="20" w:edGrp="everyone"/>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permStart w:id="21" w:edGrp="everyone"/>
      <w:bookmarkStart w:id="20" w:name="PO_part2ABAmount6"/>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2" w:edGrp="everyone"/>
      <w:bookmarkStart w:id="21"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6D4546D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permStart w:id="24" w:edGrp="everyone"/>
      <w:bookmarkStart w:id="23" w:name="PO_part2ABAmount8"/>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bookmarkStart w:id="24" w:name="PO_part2ABReason3"/>
      <w:permStart w:id="25" w:edGrp="everyone"/>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619673F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bookmarkStart w:id="25" w:name="PO_part2ABAmount9"/>
      <w:permStart w:id="26" w:edGrp="everyone"/>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permStart w:id="27" w:edGrp="everyone"/>
      <w:bookmarkStart w:id="26" w:name="PO_part2ABAmount10"/>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28" w:edGrp="everyone"/>
      <w:bookmarkStart w:id="27"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5815517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3033ADB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2" w:edGrp="everyone"/>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3" w:edGrp="everyone"/>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bookmarkStart w:id="33" w:name="PO_part2ABReason12"/>
      <w:permStart w:id="34" w:edGrp="everyone"/>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2CDECC0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permStart w:id="36" w:edGrp="everyone"/>
      <w:bookmarkStart w:id="35" w:name="PO_part2ABAmount14"/>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permStart w:id="37" w:edGrp="everyone"/>
      <w:bookmarkStart w:id="36" w:name="PO_part2ABReason6"/>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29925CE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38" w:edGrp="everyone"/>
      <w:bookmarkStart w:id="37" w:name="PO_part2ABAmount15"/>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bookmarkStart w:id="38" w:name="PO_part2ABAmount16"/>
      <w:permStart w:id="39" w:edGrp="everyone"/>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200DF09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0"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42" w:edGrp="everyone"/>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74E17CEF">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3" w:name="PO_part2ABAmount19"/>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bookmarkStart w:id="44" w:name="PO_part2ABAmount20"/>
      <w:permStart w:id="45" w:edGrp="everyone"/>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6" w:edGrp="everyone"/>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3A0D6ED4">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668.86</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2566B50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668.86</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2E924872">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（1）社会保障和就业（类）支出620.05万元，主要用于：</w:t>
      </w:r>
      <w:r>
        <w:rPr>
          <w:rFonts w:hint="eastAsia" w:ascii="仿宋_GB2312" w:eastAsia="仿宋_GB2312"/>
          <w:sz w:val="32"/>
          <w:szCs w:val="32"/>
          <w:lang w:val="en-US" w:eastAsia="zh-CN"/>
        </w:rPr>
        <w:t>机关及下属事业单位人员工资、日常运转、社会保障缴费及离退休人员支出。专项项目主要用于人力资源和社会保障的工作经费和全旗参保人员社会保险的补助资金、就业工作补助资金</w:t>
      </w:r>
      <w:r>
        <w:rPr>
          <w:rFonts w:hint="eastAsia" w:ascii="Times New Roman" w:hAnsi="Times New Roman" w:eastAsia="仿宋_GB2312"/>
          <w:sz w:val="32"/>
          <w:szCs w:val="32"/>
        </w:rPr>
        <w:t>；与上年相比减少176.28万元，下降22.14%，主要原因是：</w:t>
      </w:r>
      <w:r>
        <w:rPr>
          <w:rFonts w:hint="eastAsia" w:ascii="Times New Roman" w:hAnsi="Times New Roman" w:eastAsia="仿宋_GB2312"/>
          <w:sz w:val="32"/>
          <w:szCs w:val="32"/>
          <w:lang w:val="en-US" w:eastAsia="zh-CN"/>
        </w:rPr>
        <w:t>2025年度比2024年减少了储备人才、和协理员补助的预算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（2）卫生健康（类）支出20.62万元，主要用于：</w:t>
      </w:r>
      <w:r>
        <w:rPr>
          <w:rFonts w:hint="eastAsia" w:eastAsia="仿宋_GB2312"/>
          <w:sz w:val="32"/>
          <w:szCs w:val="32"/>
          <w:lang w:val="en-US" w:eastAsia="zh-CN"/>
        </w:rPr>
        <w:t>机关及下属事业单位按照规定标准为职工缴纳的养老保险、职业年金、工伤保险、基本医疗保险及生育保险等支出</w:t>
      </w:r>
      <w:r>
        <w:rPr>
          <w:rFonts w:hint="eastAsia" w:ascii="Times New Roman" w:hAnsi="Times New Roman" w:eastAsia="仿宋_GB2312"/>
          <w:sz w:val="32"/>
          <w:szCs w:val="32"/>
        </w:rPr>
        <w:t>；与上年相比增加0.69万元，增长3.46%，主要原因是：</w:t>
      </w:r>
      <w:r>
        <w:rPr>
          <w:rFonts w:hint="eastAsia" w:ascii="Times New Roman" w:hAnsi="Times New Roman" w:eastAsia="仿宋_GB2312"/>
          <w:sz w:val="32"/>
          <w:szCs w:val="32"/>
          <w:lang w:val="en-US" w:eastAsia="zh-CN"/>
        </w:rPr>
        <w:t>养老保险和医疗保险基数的增加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（3）住房保障（类）支出28.19万元，主要用于：</w:t>
      </w:r>
      <w:r>
        <w:rPr>
          <w:rFonts w:hint="eastAsia" w:eastAsia="仿宋_GB2312"/>
          <w:sz w:val="32"/>
          <w:szCs w:val="32"/>
          <w:lang w:val="en-US" w:eastAsia="zh-CN"/>
        </w:rPr>
        <w:t>机关及下属事业单位按照规定标准为职工缴纳住房公积金等支出</w:t>
      </w:r>
      <w:r>
        <w:rPr>
          <w:rFonts w:hint="eastAsia" w:ascii="Times New Roman" w:hAnsi="Times New Roman" w:eastAsia="仿宋_GB2312"/>
          <w:sz w:val="32"/>
          <w:szCs w:val="32"/>
        </w:rPr>
        <w:t>；与上年相比减少2.07万元，下降6.84%，主要原因是：</w:t>
      </w:r>
      <w:r>
        <w:rPr>
          <w:rFonts w:hint="eastAsia" w:ascii="Times New Roman" w:hAnsi="Times New Roman" w:eastAsia="仿宋_GB2312"/>
          <w:sz w:val="32"/>
          <w:szCs w:val="32"/>
          <w:lang w:val="en-US" w:eastAsia="zh-CN"/>
        </w:rPr>
        <w:t>有4名人员因行政执法大队撤销，转入到其他单位。</w:t>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14:paraId="3AB8E5FC">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permStart w:id="52" w:edGrp="everyone"/>
      <w:bookmarkStart w:id="51"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7E2F7104">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56CDCAE7">
      <w:pPr>
        <w:spacing w:line="600" w:lineRule="exact"/>
        <w:ind w:firstLine="640" w:firstLineChars="200"/>
        <w:rPr>
          <w:rFonts w:ascii="Times New Roman" w:hAnsi="Times New Roman" w:eastAsia="仿宋_GB2312"/>
          <w:sz w:val="32"/>
          <w:szCs w:val="32"/>
        </w:rPr>
      </w:pPr>
      <w:bookmarkStart w:id="52" w:name="PO_part2A1Amount1"/>
      <w:permStart w:id="53" w:edGrp="everyone"/>
      <w:r>
        <w:rPr>
          <w:rFonts w:hint="eastAsia" w:ascii="Times New Roman" w:hAnsi="Times New Roman" w:eastAsia="仿宋_GB2312"/>
          <w:sz w:val="32"/>
          <w:szCs w:val="32"/>
        </w:rPr>
        <w:t>奈曼旗人力资源和社会保障局（本级）</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668.86</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4" w:name="PO_part2A1Amount3"/>
      <w:r>
        <w:rPr>
          <w:rFonts w:hint="eastAsia" w:ascii="Times New Roman" w:hAnsi="Times New Roman" w:eastAsia="仿宋_GB2312"/>
          <w:sz w:val="32"/>
          <w:szCs w:val="32"/>
        </w:rPr>
        <w:t>668.86</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6" w:edGrp="everyone"/>
      <w:bookmarkStart w:id="55" w:name="PO_part2A1Amount4"/>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767F433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permStart w:id="57" w:edGrp="everyone"/>
      <w:bookmarkStart w:id="56" w:name="PO_part2A1Amount5"/>
      <w:r>
        <w:rPr>
          <w:rFonts w:hint="eastAsia" w:ascii="Times New Roman" w:hAnsi="Times New Roman" w:eastAsia="仿宋_GB2312"/>
          <w:sz w:val="32"/>
          <w:szCs w:val="32"/>
        </w:rPr>
        <w:t>668.86</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05A0A44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0" w:edGrp="everyone"/>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27CD80B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7B4E823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4" w:edGrp="everyone"/>
      <w:bookmarkStart w:id="63" w:name="PO_part2A1Amount12"/>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63C0992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5" w:edGrp="everyone"/>
      <w:bookmarkStart w:id="64" w:name="PO_part2A1Amount13"/>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permStart w:id="66" w:edGrp="everyone"/>
      <w:bookmarkStart w:id="65" w:name="PO_part2A1Amount14"/>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0B25014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5D70C35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69" w:edGrp="everyone"/>
      <w:bookmarkStart w:id="68" w:name="PO_part2A1Amount17"/>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54F573C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permStart w:id="71" w:edGrp="everyone"/>
      <w:bookmarkStart w:id="70" w:name="PO_part2A1Amount19"/>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permStart w:id="72" w:edGrp="everyone"/>
      <w:bookmarkStart w:id="71"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149C9CC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5C63E86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4"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43E99B4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77" w:edGrp="everyone"/>
      <w:bookmarkStart w:id="76" w:name="PO_part2A1Amount25"/>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717E159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8"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5AFAEDE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1E209B3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permStart w:id="83" w:edGrp="everyone"/>
      <w:bookmarkStart w:id="82" w:name="PO_part2A1Amount31"/>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47639582">
      <w:pPr>
        <w:pStyle w:val="5"/>
        <w:spacing w:line="250" w:lineRule="auto"/>
      </w:pPr>
    </w:p>
    <w:p w14:paraId="3EC94331">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4445" t="4445" r="1206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549F33F4">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0C3CB663">
      <w:pPr>
        <w:spacing w:line="600" w:lineRule="exact"/>
        <w:ind w:firstLine="640" w:firstLineChars="200"/>
        <w:rPr>
          <w:rFonts w:ascii="Times New Roman" w:hAnsi="Times New Roman" w:eastAsia="仿宋_GB2312"/>
          <w:sz w:val="32"/>
          <w:szCs w:val="32"/>
        </w:rPr>
      </w:pPr>
      <w:bookmarkStart w:id="85" w:name="PO_part2A2Amount1"/>
      <w:permStart w:id="86" w:edGrp="everyone"/>
      <w:r>
        <w:rPr>
          <w:rFonts w:hint="eastAsia" w:ascii="Times New Roman" w:hAnsi="Times New Roman" w:eastAsia="仿宋_GB2312"/>
          <w:sz w:val="32"/>
          <w:szCs w:val="32"/>
        </w:rPr>
        <w:t>奈曼旗人力资源和社会保障局（本级）</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permStart w:id="87" w:edGrp="everyone"/>
      <w:bookmarkStart w:id="86" w:name="PO_part2A2Amount2"/>
      <w:r>
        <w:rPr>
          <w:rFonts w:hint="eastAsia" w:ascii="Times New Roman" w:hAnsi="Times New Roman" w:eastAsia="仿宋_GB2312"/>
          <w:sz w:val="32"/>
          <w:szCs w:val="32"/>
        </w:rPr>
        <w:t>668.86</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3A2A10F3">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88" w:edGrp="everyone"/>
      <w:bookmarkStart w:id="87" w:name="PO_part2A2Amount3"/>
      <w:r>
        <w:rPr>
          <w:rFonts w:hint="eastAsia" w:ascii="Times New Roman" w:hAnsi="Times New Roman" w:eastAsia="仿宋_GB2312"/>
          <w:sz w:val="32"/>
          <w:szCs w:val="32"/>
        </w:rPr>
        <w:t>605.86</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permStart w:id="89" w:edGrp="everyone"/>
      <w:bookmarkStart w:id="88" w:name="PO_part2A2Amount4"/>
      <w:r>
        <w:rPr>
          <w:rFonts w:hint="eastAsia" w:ascii="Times New Roman" w:hAnsi="Times New Roman" w:eastAsia="仿宋_GB2312"/>
          <w:sz w:val="32"/>
          <w:szCs w:val="32"/>
        </w:rPr>
        <w:t>90.58</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70F5027F">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permStart w:id="90" w:edGrp="everyone"/>
      <w:bookmarkStart w:id="89" w:name="PO_part2A2Amount5"/>
      <w:r>
        <w:rPr>
          <w:rFonts w:hint="eastAsia" w:ascii="Times New Roman" w:hAnsi="Times New Roman" w:eastAsia="仿宋_GB2312"/>
          <w:sz w:val="32"/>
          <w:szCs w:val="32"/>
        </w:rPr>
        <w:t>63.00</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9.42</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032BD7F4">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6F575D31">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3CB5F1D3">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96" w:edGrp="everyone"/>
      <w:bookmarkStart w:id="95" w:name="PO_part2A2Amount11"/>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permStart w:id="97" w:edGrp="everyone"/>
      <w:bookmarkStart w:id="96" w:name="PO_part2A2Amount12"/>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51DF95AB">
      <w:pPr>
        <w:pStyle w:val="5"/>
        <w:spacing w:line="248" w:lineRule="auto"/>
      </w:pPr>
    </w:p>
    <w:p w14:paraId="4CD78BA1">
      <w:pPr>
        <w:spacing w:before="102" w:line="222" w:lineRule="auto"/>
        <w:jc w:val="center"/>
        <w:rPr>
          <w:rFonts w:eastAsia="仿宋"/>
        </w:rPr>
      </w:pPr>
      <w:permStart w:id="98"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37045F27">
      <w:pPr>
        <w:pStyle w:val="5"/>
        <w:spacing w:line="272" w:lineRule="auto"/>
      </w:pPr>
    </w:p>
    <w:p w14:paraId="127F8DBC">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6A765C5C">
      <w:pPr>
        <w:spacing w:line="600" w:lineRule="exact"/>
        <w:ind w:firstLine="640" w:firstLineChars="200"/>
        <w:rPr>
          <w:rFonts w:ascii="Times New Roman" w:hAnsi="Times New Roman" w:eastAsia="仿宋_GB2312"/>
          <w:sz w:val="32"/>
          <w:szCs w:val="32"/>
        </w:rPr>
      </w:pPr>
      <w:permStart w:id="99" w:edGrp="everyone"/>
      <w:bookmarkStart w:id="98" w:name="PO_part2A3Amount1"/>
      <w:r>
        <w:rPr>
          <w:rFonts w:hint="eastAsia" w:ascii="Times New Roman" w:hAnsi="Times New Roman" w:eastAsia="仿宋_GB2312"/>
          <w:sz w:val="32"/>
          <w:szCs w:val="32"/>
        </w:rPr>
        <w:t>奈曼旗人力资源和社会保障局（本级）</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668.86</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减少177.67万元，下降20.99%</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permStart w:id="102" w:edGrp="everyone"/>
      <w:bookmarkStart w:id="101" w:name="PO_part2A3Reason2"/>
      <w:r>
        <w:rPr>
          <w:rFonts w:hint="eastAsia" w:ascii="Times New Roman" w:hAnsi="Times New Roman" w:eastAsia="仿宋_GB2312"/>
          <w:sz w:val="32"/>
          <w:szCs w:val="32"/>
          <w:lang w:val="en-US" w:eastAsia="zh-CN"/>
        </w:rPr>
        <w:t>2025年度比2024年减少了储备人才、和协理员补助的预算</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668.86</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4" w:edGrp="everyone"/>
      <w:r>
        <w:rPr>
          <w:rFonts w:hint="eastAsia" w:ascii="Times New Roman" w:hAnsi="Times New Roman" w:eastAsia="仿宋_GB2312"/>
          <w:sz w:val="32"/>
          <w:szCs w:val="32"/>
        </w:rPr>
        <w:t>减少177.67万元，下降20.99%</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5" w:edGrp="everyone"/>
      <w:r>
        <w:rPr>
          <w:rFonts w:hint="eastAsia" w:ascii="Times New Roman" w:hAnsi="Times New Roman" w:eastAsia="仿宋_GB2312"/>
          <w:sz w:val="32"/>
          <w:szCs w:val="32"/>
          <w:lang w:val="en-US" w:eastAsia="zh-CN"/>
        </w:rPr>
        <w:t>2025年度比2024年减少了储备人才、和协理员补助的预算</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353EDAA6">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4D047F8D">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奈曼旗人力资源和社会保障局（本级）</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permStart w:id="107" w:edGrp="everyone"/>
      <w:bookmarkStart w:id="106" w:name="PO_part2A4Amount2"/>
      <w:r>
        <w:rPr>
          <w:rFonts w:hint="eastAsia" w:ascii="Times New Roman" w:hAnsi="Times New Roman" w:eastAsia="仿宋_GB2312"/>
          <w:sz w:val="32"/>
          <w:szCs w:val="32"/>
        </w:rPr>
        <w:t>668.86</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08" w:edGrp="everyone"/>
      <w:bookmarkStart w:id="107" w:name="PO_part2A4Reason1"/>
      <w:r>
        <w:rPr>
          <w:rFonts w:hint="eastAsia" w:ascii="Times New Roman" w:hAnsi="Times New Roman" w:eastAsia="仿宋_GB2312"/>
          <w:sz w:val="32"/>
          <w:szCs w:val="32"/>
        </w:rPr>
        <w:t>比上年度减少177.67万元，下降20.99%</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permStart w:id="109" w:edGrp="everyone"/>
      <w:bookmarkStart w:id="108" w:name="PO_part2A4Amount4"/>
      <w:r>
        <w:rPr>
          <w:rFonts w:hint="eastAsia" w:ascii="Times New Roman" w:hAnsi="Times New Roman" w:eastAsia="仿宋_GB2312"/>
          <w:sz w:val="32"/>
          <w:szCs w:val="32"/>
          <w:lang w:val="en-US" w:eastAsia="zh-CN"/>
        </w:rPr>
        <w:t>2025年度比2024年减少了储备人才、和协理员补助的预算</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45A168BA">
      <w:pPr>
        <w:spacing w:line="600" w:lineRule="exact"/>
        <w:ind w:firstLine="643" w:firstLineChars="200"/>
        <w:rPr>
          <w:rFonts w:hint="eastAsia" w:ascii="仿宋" w:hAnsi="仿宋" w:eastAsia="仿宋" w:cs="仿宋"/>
          <w:spacing w:val="-13"/>
          <w:sz w:val="31"/>
          <w:szCs w:val="31"/>
        </w:rPr>
      </w:pPr>
      <w:permStart w:id="110" w:edGrp="everyone"/>
      <w:bookmarkStart w:id="109" w:name="PO_part2A4Amount3"/>
      <w:r>
        <w:rPr>
          <w:rFonts w:hint="eastAsia" w:ascii="Times New Roman" w:hAnsi="Times New Roman" w:eastAsia="仿宋_GB2312"/>
          <w:b/>
          <w:bCs/>
          <w:sz w:val="32"/>
          <w:szCs w:val="32"/>
        </w:rPr>
        <w:t>（一）社会保障和就业（类）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社会保障和就业类年初预算数为620.05万元，与上年度相比减少176.28万元。其中：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1.人力资源和社会保障管理事务（款）行政运行（项）。年初预算269.56万元，与上年度相比减少76.78万元，下降22.17%，变动原因：</w:t>
      </w:r>
      <w:r>
        <w:rPr>
          <w:rFonts w:hint="eastAsia" w:ascii="Times New Roman" w:hAnsi="Times New Roman" w:eastAsia="仿宋_GB2312"/>
          <w:sz w:val="32"/>
          <w:szCs w:val="32"/>
          <w:lang w:val="en-US" w:eastAsia="zh-CN"/>
        </w:rPr>
        <w:t>2025年度比2024年减少了储备人才、和协理员补助的预算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2.人力资源和社会保障管理事务（款）劳动保障监察（项）。年初预算5.00万元，与上年度相比，无增减变动，变动原因：</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3.人力资源和社会保障管理事务（款）社会保险业务管理事务（项）。年初预算10.00万元，与上年度相比，无增减变动，变动原因：</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4.人力资源和社会保障管理事务（款）劳动人事争议调解仲裁（项）。年初预算10.00万元，与上年度相比，无增减变动，变动原因：</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5.人力资源和社会保障管理事务（款）事业运行（项）。年初预算92.18万元，与上年相比增加9.73万元，增长11.80%，变动原因：</w:t>
      </w:r>
      <w:r>
        <w:rPr>
          <w:rFonts w:hint="eastAsia" w:ascii="Times New Roman" w:hAnsi="Times New Roman" w:eastAsia="仿宋_GB2312"/>
          <w:sz w:val="32"/>
          <w:szCs w:val="32"/>
          <w:lang w:val="en-US" w:eastAsia="zh-CN"/>
        </w:rPr>
        <w:t>新增事业单位1人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6.人力资源和社会保障管理事务（款）其他人力资源和社会保障管理事务支出（项）。年初预算150.23万元，与上年相比增加44.63万元，增长42.26%，变动原因：</w:t>
      </w:r>
      <w:r>
        <w:rPr>
          <w:rFonts w:hint="eastAsia" w:ascii="Times New Roman" w:hAnsi="Times New Roman" w:eastAsia="仿宋_GB2312"/>
          <w:sz w:val="32"/>
          <w:szCs w:val="32"/>
          <w:lang w:val="en-US" w:eastAsia="zh-CN"/>
        </w:rPr>
        <w:t>本年度三支一扶人员比上年增加了</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7.行政事业单位养老支出（款）行政单位离退休（项）。年初预算10.34万元，与上年相比增加0.66万元，增长6.82%，变动原因：</w:t>
      </w:r>
      <w:r>
        <w:rPr>
          <w:rFonts w:hint="eastAsia" w:ascii="Times New Roman" w:hAnsi="Times New Roman" w:eastAsia="仿宋_GB2312"/>
          <w:sz w:val="32"/>
          <w:szCs w:val="32"/>
          <w:lang w:val="en-US" w:eastAsia="zh-CN"/>
        </w:rPr>
        <w:t>本年新增退休人员2人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8.行政事业单位养老支出（款）机关事业单位基本养老保险缴费支出（项）。年初预算45.11万元，与上年度相比减少3.31万元，下降6.84%，变动原因：</w:t>
      </w:r>
      <w:r>
        <w:rPr>
          <w:rFonts w:hint="eastAsia" w:ascii="Times New Roman" w:hAnsi="Times New Roman" w:eastAsia="仿宋_GB2312"/>
          <w:sz w:val="32"/>
          <w:szCs w:val="32"/>
          <w:lang w:val="en-US" w:eastAsia="zh-CN"/>
        </w:rPr>
        <w:t>因执法大队撤销，人员转到其他单位</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9.行政事业单位养老支出（款）机关事业单位职业年金缴费支出（项）。年初预算22.56万元，与上年度相比减少1.66万元，下降6.86%，变动原因：</w:t>
      </w:r>
      <w:r>
        <w:rPr>
          <w:rFonts w:hint="eastAsia" w:ascii="Times New Roman" w:hAnsi="Times New Roman" w:eastAsia="仿宋_GB2312"/>
          <w:sz w:val="32"/>
          <w:szCs w:val="32"/>
          <w:lang w:val="en-US" w:eastAsia="zh-CN"/>
        </w:rPr>
        <w:t>因执法大队撤销，人员转到其他单位</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10.其他社会保障和就业支出（款）其他社会保障和就业支出（项）。年初预算5.08万元，与上年度相比减少18.39万元，下降78.36%，变动原因：</w:t>
      </w:r>
      <w:r>
        <w:rPr>
          <w:rFonts w:hint="eastAsia" w:ascii="Times New Roman" w:hAnsi="Times New Roman" w:eastAsia="仿宋_GB2312"/>
          <w:sz w:val="32"/>
          <w:szCs w:val="32"/>
          <w:lang w:val="en-US" w:eastAsia="zh-CN"/>
        </w:rPr>
        <w:t>2025年度比2024年减少了储备人才、和协理员补助的预算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11.社会保障和就业支出（款）其他就业补助支出（项）。年初预算0.00万元，与上年度相比减少131.16万元，下降100.00%，变动原因：</w:t>
      </w:r>
      <w:r>
        <w:rPr>
          <w:rFonts w:hint="eastAsia" w:ascii="Times New Roman" w:hAnsi="Times New Roman" w:eastAsia="仿宋_GB2312"/>
          <w:sz w:val="32"/>
          <w:szCs w:val="32"/>
          <w:lang w:val="en-US" w:eastAsia="zh-CN"/>
        </w:rPr>
        <w:t>2025年度比2024年减少了储备人才、和协理员补助的预算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卫生健康类年初预算数为20.62万元，与上年度相比增加0.69万元。其中：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1.行政事业单位医疗（款）行政单位医疗（项）。年初预算18.58万元，与上年度相比减少1.35万元，下降6.77%，变动原因：</w:t>
      </w:r>
      <w:r>
        <w:rPr>
          <w:rFonts w:hint="eastAsia" w:ascii="Times New Roman" w:hAnsi="Times New Roman" w:eastAsia="仿宋_GB2312"/>
          <w:sz w:val="32"/>
          <w:szCs w:val="32"/>
          <w:lang w:val="en-US" w:eastAsia="zh-CN"/>
        </w:rPr>
        <w:t>执法大队撤销，人员转到其他单位</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2.行政事业单位医疗（款）公务员医疗补助（项）。年初预算2.04万元，上年度无预算安排，无法比较，变动原因：</w:t>
      </w:r>
      <w:r>
        <w:rPr>
          <w:rFonts w:hint="eastAsia" w:ascii="Times New Roman" w:hAnsi="Times New Roman" w:eastAsia="仿宋_GB2312"/>
          <w:sz w:val="32"/>
          <w:szCs w:val="32"/>
          <w:lang w:val="en-US" w:eastAsia="zh-CN"/>
        </w:rPr>
        <w:t>此预算是从2025年开始的</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住房保障类年初预算数为28.19万元，与上年度相比减少2.07万元。其中：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1.住房改革支出（款）住房公积金（项）。年初预算28.19万元，与上年度相比减少2.07万元，下降6.84%，变动原因：</w:t>
      </w:r>
      <w:r>
        <w:rPr>
          <w:rFonts w:hint="eastAsia" w:ascii="Times New Roman" w:hAnsi="Times New Roman" w:eastAsia="仿宋_GB2312"/>
          <w:sz w:val="32"/>
          <w:szCs w:val="32"/>
          <w:lang w:val="en-US" w:eastAsia="zh-CN"/>
        </w:rPr>
        <w:t>执法大队撤销，人员转到其他单位</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09"/>
    </w:p>
    <w:p w14:paraId="7C3CFF76">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35DF46F1">
      <w:pPr>
        <w:spacing w:line="600" w:lineRule="exact"/>
        <w:ind w:firstLine="640" w:firstLineChars="200"/>
        <w:rPr>
          <w:rFonts w:ascii="Times New Roman" w:hAnsi="Times New Roman" w:eastAsia="仿宋_GB2312"/>
          <w:sz w:val="32"/>
          <w:szCs w:val="32"/>
        </w:rPr>
      </w:pPr>
      <w:permStart w:id="111" w:edGrp="everyone"/>
      <w:bookmarkStart w:id="110" w:name="PO_part2A5Amount1"/>
      <w:r>
        <w:rPr>
          <w:rFonts w:hint="eastAsia" w:ascii="Times New Roman" w:hAnsi="Times New Roman" w:eastAsia="仿宋_GB2312"/>
          <w:sz w:val="32"/>
          <w:szCs w:val="32"/>
        </w:rPr>
        <w:t>奈曼旗人力资源和社会保障局（本级）</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605.86</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bookmarkStart w:id="112" w:name="PO_part2A5Amount5"/>
      <w:permStart w:id="113" w:edGrp="everyone"/>
      <w:r>
        <w:rPr>
          <w:rFonts w:hint="eastAsia" w:ascii="Times New Roman" w:hAnsi="Times New Roman" w:eastAsia="仿宋_GB2312"/>
          <w:sz w:val="32"/>
          <w:szCs w:val="32"/>
        </w:rPr>
        <w:t>增加43.40万元，增长7.72%</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4D4FDD35">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rPr>
        <w:t>452.11</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permStart w:id="115" w:edGrp="everyone"/>
      <w:bookmarkStart w:id="114" w:name="PO_part2A5Reason1"/>
      <w:r>
        <w:rPr>
          <w:rFonts w:hint="eastAsia" w:ascii="Times New Roman" w:hAnsi="Times New Roman" w:eastAsia="仿宋_GB2312"/>
          <w:sz w:val="32"/>
          <w:szCs w:val="32"/>
        </w:rPr>
        <w:t>主要包括：基本工资124.31万元、津贴补贴73.77万元、奖金12.05万元、绩效工资68.15万元、机关事业单位基本养老保险缴费45.11万元、职业年金缴费22.56万元、职工基本医疗保险缴费18.58万元、公务员医疗补助缴费2.04万元、其他社会保障缴费2.36万元、住房公积金28.19万元、其他工资福利支出39.29万元、退休费10.34万元、生活补助5.37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1E56F333">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6" w:edGrp="everyone"/>
      <w:bookmarkStart w:id="115" w:name="PO_part2A5Amount3"/>
      <w:r>
        <w:rPr>
          <w:rFonts w:hint="eastAsia" w:ascii="Times New Roman" w:hAnsi="Times New Roman" w:eastAsia="仿宋_GB2312"/>
          <w:sz w:val="32"/>
          <w:szCs w:val="32"/>
        </w:rPr>
        <w:t>153.75</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主要包括：其他工资福利支出2.97万元、办公费7.60万元、邮电费2.00万元、差旅费2.00万元、福利费0.84万元、公务用车运行维护费1.00万元、其他交通费用8.28万元、其他对个人和家庭的补助129.06万元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5573CBC1">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7623D674">
      <w:pPr>
        <w:spacing w:line="600" w:lineRule="exact"/>
        <w:ind w:firstLine="640" w:firstLineChars="200"/>
        <w:rPr>
          <w:rFonts w:ascii="Times New Roman" w:hAnsi="Times New Roman" w:eastAsia="仿宋_GB2312"/>
          <w:sz w:val="32"/>
          <w:szCs w:val="32"/>
        </w:rPr>
      </w:pPr>
      <w:permStart w:id="118" w:edGrp="everyone"/>
      <w:bookmarkStart w:id="117" w:name="PO_part2A6Amount1"/>
      <w:r>
        <w:rPr>
          <w:rFonts w:hint="eastAsia" w:ascii="Times New Roman" w:hAnsi="Times New Roman" w:eastAsia="仿宋_GB2312"/>
          <w:sz w:val="32"/>
          <w:szCs w:val="32"/>
        </w:rPr>
        <w:t>奈曼旗人力资源和社会保障局（本级）</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19" w:edGrp="everyone"/>
      <w:bookmarkStart w:id="118" w:name="PO_part2A6Amount2"/>
      <w:r>
        <w:rPr>
          <w:rFonts w:hint="eastAsia" w:ascii="Times New Roman" w:hAnsi="Times New Roman" w:eastAsia="仿宋_GB2312"/>
          <w:sz w:val="32"/>
          <w:szCs w:val="32"/>
        </w:rPr>
        <w:t>9.00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permStart w:id="120" w:edGrp="everyone"/>
      <w:bookmarkStart w:id="119"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22" w:edGrp="everyone"/>
      <w:r>
        <w:rPr>
          <w:rFonts w:hint="eastAsia" w:ascii="Times New Roman" w:hAnsi="Times New Roman" w:eastAsia="仿宋_GB2312"/>
          <w:sz w:val="32"/>
          <w:szCs w:val="32"/>
        </w:rPr>
        <w:t>9.00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3" w:edGrp="everyone"/>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4D24F74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9.00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2CA4FEA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7"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permStart w:id="129" w:edGrp="everyone"/>
      <w:bookmarkStart w:id="128"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0570728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9.00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7A07D4E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2" w:edGrp="everyone"/>
      <w:bookmarkStart w:id="131" w:name="PO_part2A6Amount12"/>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permStart w:id="134" w:edGrp="everyone"/>
      <w:bookmarkStart w:id="133" w:name="PO_part2A6Reason3"/>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796F43C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35" w:edGrp="everyone"/>
      <w:bookmarkStart w:id="134" w:name="PO_part2A6Amount13"/>
      <w:r>
        <w:rPr>
          <w:rFonts w:hint="eastAsia" w:ascii="Times New Roman" w:hAnsi="Times New Roman" w:eastAsia="仿宋_GB2312"/>
          <w:sz w:val="32"/>
          <w:szCs w:val="32"/>
        </w:rPr>
        <w:t>9.00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permStart w:id="137" w:edGrp="everyone"/>
      <w:bookmarkStart w:id="136" w:name="PO_part2A6Reason4"/>
      <w:r>
        <w:rPr>
          <w:rFonts w:hint="eastAsia" w:ascii="Times New Roman" w:hAnsi="Times New Roman" w:eastAsia="仿宋_GB2312"/>
          <w:sz w:val="32"/>
          <w:szCs w:val="32"/>
          <w:lang w:val="en-US" w:eastAsia="zh-CN"/>
        </w:rPr>
        <w:t>无变动</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4AD5D80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38" w:edGrp="everyone"/>
      <w:bookmarkStart w:id="137" w:name="PO_part2A6Amount14"/>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permStart w:id="140" w:edGrp="everyone"/>
      <w:bookmarkStart w:id="139" w:name="PO_part2A6Reason5"/>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0A8B29F1">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576D9FAA">
      <w:pPr>
        <w:pStyle w:val="5"/>
        <w:spacing w:line="560" w:lineRule="exact"/>
        <w:ind w:left="17" w:leftChars="8" w:firstLine="640" w:firstLineChars="200"/>
        <w:rPr>
          <w:rFonts w:ascii="Times New Roman" w:hAnsi="Times New Roman" w:eastAsia="仿宋_GB2312" w:cstheme="minorBidi"/>
          <w:sz w:val="32"/>
          <w:szCs w:val="32"/>
          <w:lang w:eastAsia="zh-CN"/>
        </w:rPr>
      </w:pPr>
      <w:permStart w:id="141" w:edGrp="everyone"/>
      <w:bookmarkStart w:id="140" w:name="PO_part2A7Amount1"/>
      <w:r>
        <w:rPr>
          <w:rFonts w:hint="eastAsia" w:ascii="Times New Roman" w:hAnsi="Times New Roman" w:eastAsia="仿宋_GB2312" w:cstheme="minorBidi"/>
          <w:sz w:val="32"/>
          <w:szCs w:val="32"/>
          <w:lang w:eastAsia="zh-CN"/>
        </w:rPr>
        <w:t>奈曼旗人力资源和社会保障局（本级）</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2" w:edGrp="everyone"/>
      <w:bookmarkStart w:id="141"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4"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14:paraId="5D4C7DA8">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7DFA9BAD">
      <w:pPr>
        <w:spacing w:line="560" w:lineRule="exact"/>
        <w:ind w:firstLine="640" w:firstLineChars="200"/>
        <w:rPr>
          <w:rFonts w:ascii="Times New Roman" w:hAnsi="Times New Roman" w:eastAsia="仿宋_GB2312"/>
          <w:sz w:val="32"/>
          <w:szCs w:val="32"/>
        </w:rPr>
      </w:pPr>
      <w:permStart w:id="146" w:edGrp="everyone"/>
      <w:bookmarkStart w:id="145" w:name="PO_part2A8Amount1"/>
      <w:r>
        <w:rPr>
          <w:rFonts w:hint="eastAsia" w:ascii="Times New Roman" w:hAnsi="Times New Roman" w:eastAsia="仿宋_GB2312"/>
          <w:sz w:val="32"/>
          <w:szCs w:val="32"/>
        </w:rPr>
        <w:t>奈曼旗人力资源和社会保障局（本级）</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7" w:edGrp="everyone"/>
      <w:bookmarkStart w:id="146"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48" w:edGrp="everyone"/>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49" w:edGrp="everyone"/>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0" w:edGrp="everyone"/>
      <w:r>
        <w:rPr>
          <w:rFonts w:hint="eastAsia" w:ascii="Times New Roman" w:hAnsi="Times New Roman" w:eastAsia="仿宋_GB2312"/>
          <w:sz w:val="32"/>
          <w:szCs w:val="32"/>
        </w:rPr>
        <w:t xml:space="preserve"> </w:t>
      </w:r>
      <w:permEnd w:id="150"/>
    </w:p>
    <w:bookmarkEnd w:id="149"/>
    <w:p w14:paraId="7C7B525B">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1061236A">
      <w:pPr>
        <w:widowControl/>
        <w:snapToGrid w:val="0"/>
        <w:spacing w:line="600" w:lineRule="exact"/>
        <w:ind w:firstLine="640" w:firstLineChars="200"/>
        <w:rPr>
          <w:rFonts w:hint="eastAsia" w:ascii="仿宋" w:hAnsi="仿宋" w:eastAsia="仿宋" w:cs="仿宋"/>
          <w:sz w:val="31"/>
          <w:szCs w:val="31"/>
        </w:rPr>
      </w:pPr>
      <w:permStart w:id="151" w:edGrp="everyone"/>
      <w:bookmarkStart w:id="150" w:name="PO_part2A9Amount1"/>
      <w:r>
        <w:rPr>
          <w:rFonts w:hint="eastAsia" w:ascii="Times New Roman" w:hAnsi="Times New Roman" w:eastAsia="仿宋_GB2312"/>
          <w:sz w:val="32"/>
          <w:szCs w:val="32"/>
        </w:rPr>
        <w:t>奈曼旗人力资源和社会保障局（本级）</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2" w:edGrp="everyone"/>
      <w:bookmarkStart w:id="151" w:name="PO_part2A9Amount2"/>
      <w:r>
        <w:rPr>
          <w:rFonts w:hint="eastAsia" w:ascii="Times New Roman" w:hAnsi="Times New Roman" w:eastAsia="仿宋_GB2312"/>
          <w:sz w:val="32"/>
          <w:szCs w:val="32"/>
        </w:rPr>
        <w:t>8</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permStart w:id="153" w:edGrp="everyone"/>
      <w:bookmarkStart w:id="152" w:name="PO_part2A9Amount5"/>
      <w:r>
        <w:rPr>
          <w:rFonts w:hint="eastAsia" w:ascii="Times New Roman" w:hAnsi="Times New Roman" w:eastAsia="仿宋_GB2312"/>
          <w:sz w:val="32"/>
          <w:szCs w:val="32"/>
        </w:rPr>
        <w:t>63.00</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permStart w:id="154" w:edGrp="everyone"/>
      <w:bookmarkStart w:id="153" w:name="PO_part2A9Amount7"/>
      <w:r>
        <w:rPr>
          <w:rFonts w:hint="eastAsia" w:ascii="Times New Roman" w:hAnsi="Times New Roman" w:eastAsia="仿宋_GB2312"/>
          <w:sz w:val="32"/>
          <w:szCs w:val="32"/>
        </w:rPr>
        <w:t>63.00</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bookmarkStart w:id="155" w:name="PO_part2A9Amount8"/>
      <w:permStart w:id="156" w:edGrp="everyone"/>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457987E0">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2113CBDA">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奈曼旗人力资源和社会保障局（本级）</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153.75</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0" w:edGrp="everyone"/>
      <w:r>
        <w:rPr>
          <w:rFonts w:hint="eastAsia" w:ascii="Times New Roman" w:hAnsi="Times New Roman" w:eastAsia="仿宋_GB2312"/>
          <w:sz w:val="32"/>
          <w:szCs w:val="32"/>
        </w:rPr>
        <w:t>增加118.93万元，增长341.56%</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1" w:edGrp="everyone"/>
      <w:bookmarkStart w:id="160" w:name="PO_part2A10Reason2"/>
      <w:r>
        <w:rPr>
          <w:rFonts w:hint="eastAsia" w:ascii="Times New Roman" w:hAnsi="Times New Roman" w:eastAsia="仿宋_GB2312"/>
          <w:sz w:val="32"/>
          <w:szCs w:val="32"/>
          <w:lang w:val="en-US" w:eastAsia="zh-CN"/>
        </w:rPr>
        <w:t>三支一扶人员比上年增加了</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49248BDD">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35C02F70">
      <w:pPr>
        <w:widowControl/>
        <w:snapToGrid w:val="0"/>
        <w:spacing w:line="600" w:lineRule="exact"/>
        <w:ind w:firstLine="640" w:firstLineChars="200"/>
        <w:rPr>
          <w:rFonts w:ascii="Times New Roman" w:hAnsi="Times New Roman" w:eastAsia="仿宋_GB2312"/>
          <w:sz w:val="32"/>
          <w:szCs w:val="32"/>
        </w:rPr>
      </w:pPr>
      <w:bookmarkStart w:id="161" w:name="PO_part2A11Amount1"/>
      <w:permStart w:id="162" w:edGrp="everyone"/>
      <w:r>
        <w:rPr>
          <w:rFonts w:hint="eastAsia" w:ascii="Times New Roman" w:hAnsi="Times New Roman" w:eastAsia="仿宋_GB2312"/>
          <w:sz w:val="32"/>
          <w:szCs w:val="32"/>
        </w:rPr>
        <w:t>奈曼旗人力资源和社会保障局（本级）</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3" w:edGrp="everyone"/>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permStart w:id="164" w:edGrp="everyone"/>
      <w:bookmarkStart w:id="163" w:name="PO_part2A11Amount3"/>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bookmarkStart w:id="165" w:name="PO_part2A11Amount5"/>
      <w:permStart w:id="166" w:edGrp="everyone"/>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7F326F72">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087CC5CC">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奈曼旗人力资源和社会保障局（本级）</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68" w:edGrp="everyone"/>
      <w:r>
        <w:rPr>
          <w:rFonts w:hint="eastAsia" w:ascii="Times New Roman" w:hAnsi="Times New Roman" w:eastAsia="仿宋_GB2312"/>
          <w:sz w:val="32"/>
          <w:szCs w:val="32"/>
          <w:lang w:val="en-US" w:eastAsia="zh-CN"/>
        </w:rPr>
        <w:t>2</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69" w:edGrp="everyone"/>
      <w:bookmarkStart w:id="168" w:name="PO_part2A12Amount3"/>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3" w:edGrp="everyone"/>
      <w:r>
        <w:rPr>
          <w:rFonts w:hint="eastAsia" w:ascii="Times New Roman" w:hAnsi="Times New Roman" w:eastAsia="仿宋_GB2312"/>
          <w:sz w:val="32"/>
          <w:szCs w:val="32"/>
          <w:lang w:val="en-US" w:eastAsia="zh-CN"/>
        </w:rPr>
        <w:t>2</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55E1AAE5">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5D03ABFF">
      <w:pPr>
        <w:pStyle w:val="9"/>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奈曼旗人力资源和社会保障局（本级）</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8</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8</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permStart w:id="179" w:edGrp="everyone"/>
      <w:bookmarkStart w:id="178" w:name="PO_part2A13Amount4"/>
      <w:r>
        <w:rPr>
          <w:rFonts w:ascii="Times New Roman" w:hAnsi="Times New Roman" w:eastAsia="仿宋_GB2312"/>
          <w:kern w:val="2"/>
          <w:sz w:val="32"/>
          <w:szCs w:val="32"/>
        </w:rPr>
        <w:t>63.00</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157D2171">
      <w:pPr>
        <w:spacing w:line="221" w:lineRule="auto"/>
        <w:rPr>
          <w:rFonts w:hint="eastAsia" w:ascii="仿宋" w:hAnsi="仿宋" w:eastAsia="仿宋" w:cs="仿宋"/>
          <w:sz w:val="36"/>
          <w:szCs w:val="36"/>
        </w:rPr>
      </w:pPr>
    </w:p>
    <w:p w14:paraId="76B61F4B">
      <w:pPr>
        <w:pStyle w:val="3"/>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6DE39E52">
      <w:pPr>
        <w:rPr>
          <w:rFonts w:ascii="Times New Roman" w:hAnsi="Times New Roman" w:cs="Times New Roman"/>
          <w:sz w:val="36"/>
          <w:szCs w:val="44"/>
        </w:rPr>
      </w:pPr>
    </w:p>
    <w:p w14:paraId="5E7DCE54">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0A8D76D4">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59AAE32B">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71270FE5">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0B98A756">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6713D64E">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39CA3D8F">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1CA30928">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0B7046B2">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07391FAC">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7AE11A8A">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00D6852A">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36878FF7">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233A8F3A">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03DC9685">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07CC5A84">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5953D84E">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1D8002AF">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1DF1CE5B">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04140A91">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F4907D2">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284A8F01">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769EA11D">
      <w:pPr>
        <w:pStyle w:val="9"/>
        <w:ind w:left="0" w:leftChars="0" w:firstLine="0"/>
      </w:pPr>
    </w:p>
    <w:p w14:paraId="69F18FD4">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6B224C24">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val="en-US" w:eastAsia="zh-CN"/>
        </w:rPr>
        <w:t>张学凤</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13789452475</w:t>
      </w:r>
      <w:permEnd w:id="181"/>
    </w:p>
    <w:bookmarkEnd w:id="182"/>
    <w:p w14:paraId="3A6B357A">
      <w:pPr>
        <w:pStyle w:val="9"/>
        <w:rPr>
          <w:rFonts w:ascii="仿宋_GB2312" w:hAnsi="仿宋_GB2312" w:eastAsia="仿宋_GB2312" w:cs="仿宋_GB2312"/>
          <w:sz w:val="32"/>
          <w:szCs w:val="32"/>
        </w:rPr>
      </w:pPr>
    </w:p>
    <w:p w14:paraId="1FE42352">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14:paraId="4439165F">
      <w:pPr>
        <w:pStyle w:val="9"/>
        <w:ind w:firstLine="0"/>
      </w:pPr>
    </w:p>
    <w:p w14:paraId="22691B9C">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43FAF288">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69B45DCA">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1F5562CC">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39E7FAAF">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0F51750D">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7F71B706">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241D5C14">
      <w:pPr>
        <w:pStyle w:val="5"/>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11CA2F21">
      <w:pPr>
        <w:pStyle w:val="5"/>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058A2EE4">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393F8FD6">
      <w:pPr>
        <w:pStyle w:val="5"/>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301FAECA">
      <w:pPr>
        <w:pStyle w:val="5"/>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02327A86">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2C411F93">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3E4BEFCE">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51A9">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342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F93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F7E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1vXw+dx7PXz2MmFvDOlJQCjB4iI=" w:salt="lxQZBu+b/udEuzD9TRNYD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MxMThlNWQ3ZTc5MTJmMjkzMjQ1Y2ZmNDcyYTc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B14C06"/>
    <w:rsid w:val="01D54D98"/>
    <w:rsid w:val="01E131EB"/>
    <w:rsid w:val="01E569C5"/>
    <w:rsid w:val="01E57643"/>
    <w:rsid w:val="01FD42EF"/>
    <w:rsid w:val="020342D4"/>
    <w:rsid w:val="022B68F5"/>
    <w:rsid w:val="022E26FA"/>
    <w:rsid w:val="023A4BFB"/>
    <w:rsid w:val="02493090"/>
    <w:rsid w:val="02592638"/>
    <w:rsid w:val="026C0276"/>
    <w:rsid w:val="02753E85"/>
    <w:rsid w:val="027F2F56"/>
    <w:rsid w:val="02895B83"/>
    <w:rsid w:val="0292528D"/>
    <w:rsid w:val="02963DFC"/>
    <w:rsid w:val="02BF3353"/>
    <w:rsid w:val="02CB1CF7"/>
    <w:rsid w:val="02F474A0"/>
    <w:rsid w:val="0319485D"/>
    <w:rsid w:val="03217B69"/>
    <w:rsid w:val="032C31E7"/>
    <w:rsid w:val="03411FB9"/>
    <w:rsid w:val="0361443B"/>
    <w:rsid w:val="03957518"/>
    <w:rsid w:val="03AA2C2D"/>
    <w:rsid w:val="03BA2068"/>
    <w:rsid w:val="03D14221"/>
    <w:rsid w:val="03F1578E"/>
    <w:rsid w:val="03F46352"/>
    <w:rsid w:val="04806B11"/>
    <w:rsid w:val="049E7250"/>
    <w:rsid w:val="04C2712A"/>
    <w:rsid w:val="04E11CA6"/>
    <w:rsid w:val="04E35A1E"/>
    <w:rsid w:val="04FE4E54"/>
    <w:rsid w:val="04FF3EDA"/>
    <w:rsid w:val="050B63D0"/>
    <w:rsid w:val="051C5D73"/>
    <w:rsid w:val="051D4C38"/>
    <w:rsid w:val="0523406D"/>
    <w:rsid w:val="053962B4"/>
    <w:rsid w:val="053E0EA6"/>
    <w:rsid w:val="056A157F"/>
    <w:rsid w:val="056F229A"/>
    <w:rsid w:val="05A12042"/>
    <w:rsid w:val="05C173E2"/>
    <w:rsid w:val="05C34B4B"/>
    <w:rsid w:val="061B2F96"/>
    <w:rsid w:val="062B0959"/>
    <w:rsid w:val="0648128B"/>
    <w:rsid w:val="064F274C"/>
    <w:rsid w:val="066E22B9"/>
    <w:rsid w:val="067D77AC"/>
    <w:rsid w:val="06A05249"/>
    <w:rsid w:val="06A3644A"/>
    <w:rsid w:val="06F21EEC"/>
    <w:rsid w:val="06F27A12"/>
    <w:rsid w:val="07080554"/>
    <w:rsid w:val="070D3824"/>
    <w:rsid w:val="072E6CF9"/>
    <w:rsid w:val="073E2A6A"/>
    <w:rsid w:val="07750F90"/>
    <w:rsid w:val="078A03D3"/>
    <w:rsid w:val="079A71A9"/>
    <w:rsid w:val="07B767DD"/>
    <w:rsid w:val="07C82A1F"/>
    <w:rsid w:val="07E15B19"/>
    <w:rsid w:val="08122176"/>
    <w:rsid w:val="082F2D28"/>
    <w:rsid w:val="085D7896"/>
    <w:rsid w:val="085E716A"/>
    <w:rsid w:val="086D0C85"/>
    <w:rsid w:val="0874513E"/>
    <w:rsid w:val="08A35EA0"/>
    <w:rsid w:val="08A96637"/>
    <w:rsid w:val="08B80F70"/>
    <w:rsid w:val="08BC75DB"/>
    <w:rsid w:val="08F5703A"/>
    <w:rsid w:val="08F85810"/>
    <w:rsid w:val="091B1EEA"/>
    <w:rsid w:val="094B1DE4"/>
    <w:rsid w:val="095C7B4D"/>
    <w:rsid w:val="095D5673"/>
    <w:rsid w:val="0972111F"/>
    <w:rsid w:val="09727371"/>
    <w:rsid w:val="0985009C"/>
    <w:rsid w:val="09852AEF"/>
    <w:rsid w:val="09980258"/>
    <w:rsid w:val="09A11A04"/>
    <w:rsid w:val="09D37D55"/>
    <w:rsid w:val="09EE3807"/>
    <w:rsid w:val="09FB55B8"/>
    <w:rsid w:val="0A10577A"/>
    <w:rsid w:val="0A12632F"/>
    <w:rsid w:val="0A36742C"/>
    <w:rsid w:val="0A40746F"/>
    <w:rsid w:val="0A6071C9"/>
    <w:rsid w:val="0A636CB9"/>
    <w:rsid w:val="0A886720"/>
    <w:rsid w:val="0A9926DB"/>
    <w:rsid w:val="0A9E5F43"/>
    <w:rsid w:val="0AE95411"/>
    <w:rsid w:val="0AEB671A"/>
    <w:rsid w:val="0B0E4E77"/>
    <w:rsid w:val="0B1B16A5"/>
    <w:rsid w:val="0B354AFA"/>
    <w:rsid w:val="0B3568A8"/>
    <w:rsid w:val="0B3E1BA9"/>
    <w:rsid w:val="0B6131F9"/>
    <w:rsid w:val="0B68664F"/>
    <w:rsid w:val="0B6B2F9C"/>
    <w:rsid w:val="0B6E6353"/>
    <w:rsid w:val="0C3721AC"/>
    <w:rsid w:val="0C4274CE"/>
    <w:rsid w:val="0C4E1FB1"/>
    <w:rsid w:val="0C807FF6"/>
    <w:rsid w:val="0C9D15CB"/>
    <w:rsid w:val="0CA448C3"/>
    <w:rsid w:val="0CA463E0"/>
    <w:rsid w:val="0CC06645"/>
    <w:rsid w:val="0CD841D1"/>
    <w:rsid w:val="0CE340E1"/>
    <w:rsid w:val="0D044989"/>
    <w:rsid w:val="0D1F511A"/>
    <w:rsid w:val="0D431C21"/>
    <w:rsid w:val="0D9A1C1F"/>
    <w:rsid w:val="0DFE5677"/>
    <w:rsid w:val="0E2A021A"/>
    <w:rsid w:val="0E4D76BC"/>
    <w:rsid w:val="0E572FD9"/>
    <w:rsid w:val="0E5C61D6"/>
    <w:rsid w:val="0E6C74CA"/>
    <w:rsid w:val="0E9C4A15"/>
    <w:rsid w:val="0EAA4EB7"/>
    <w:rsid w:val="0EBF166A"/>
    <w:rsid w:val="0ED40186"/>
    <w:rsid w:val="0F023482"/>
    <w:rsid w:val="0F06336E"/>
    <w:rsid w:val="0F570EA2"/>
    <w:rsid w:val="0F707EAE"/>
    <w:rsid w:val="0F97209E"/>
    <w:rsid w:val="0F9A13CF"/>
    <w:rsid w:val="0FA35845"/>
    <w:rsid w:val="0FAC6852"/>
    <w:rsid w:val="0FC87CEA"/>
    <w:rsid w:val="0FDA17CC"/>
    <w:rsid w:val="0FEF171B"/>
    <w:rsid w:val="10225C62"/>
    <w:rsid w:val="102E1B18"/>
    <w:rsid w:val="105570A4"/>
    <w:rsid w:val="10BD5C30"/>
    <w:rsid w:val="10EE0112"/>
    <w:rsid w:val="10FD7E68"/>
    <w:rsid w:val="11005262"/>
    <w:rsid w:val="111744CE"/>
    <w:rsid w:val="11174CD0"/>
    <w:rsid w:val="112A0531"/>
    <w:rsid w:val="113B4A02"/>
    <w:rsid w:val="115E2DC3"/>
    <w:rsid w:val="11701B80"/>
    <w:rsid w:val="11785740"/>
    <w:rsid w:val="117A5014"/>
    <w:rsid w:val="118337FB"/>
    <w:rsid w:val="11857B93"/>
    <w:rsid w:val="119B3EF2"/>
    <w:rsid w:val="119F4A7B"/>
    <w:rsid w:val="11A77DD3"/>
    <w:rsid w:val="11B33833"/>
    <w:rsid w:val="11BD3153"/>
    <w:rsid w:val="11D15401"/>
    <w:rsid w:val="11D17841"/>
    <w:rsid w:val="11FC3C7B"/>
    <w:rsid w:val="120B0362"/>
    <w:rsid w:val="121F5BBC"/>
    <w:rsid w:val="123378BD"/>
    <w:rsid w:val="12344CE4"/>
    <w:rsid w:val="126B64B9"/>
    <w:rsid w:val="126E1AC1"/>
    <w:rsid w:val="127759F8"/>
    <w:rsid w:val="12944F5C"/>
    <w:rsid w:val="12C549B5"/>
    <w:rsid w:val="12CF2038"/>
    <w:rsid w:val="12E070F9"/>
    <w:rsid w:val="12EC0194"/>
    <w:rsid w:val="12F165FA"/>
    <w:rsid w:val="12FE1C75"/>
    <w:rsid w:val="13064990"/>
    <w:rsid w:val="131366A6"/>
    <w:rsid w:val="13482EF0"/>
    <w:rsid w:val="134F6144"/>
    <w:rsid w:val="13803442"/>
    <w:rsid w:val="13B567D8"/>
    <w:rsid w:val="13CB57FE"/>
    <w:rsid w:val="13E50F0A"/>
    <w:rsid w:val="13F13588"/>
    <w:rsid w:val="13F35552"/>
    <w:rsid w:val="13FF1D23"/>
    <w:rsid w:val="140E2C8A"/>
    <w:rsid w:val="140E7C96"/>
    <w:rsid w:val="14237204"/>
    <w:rsid w:val="144B713C"/>
    <w:rsid w:val="1468759C"/>
    <w:rsid w:val="14B720DC"/>
    <w:rsid w:val="14CD18FF"/>
    <w:rsid w:val="14D709D0"/>
    <w:rsid w:val="14F137B0"/>
    <w:rsid w:val="150A67C0"/>
    <w:rsid w:val="15115C90"/>
    <w:rsid w:val="15214433"/>
    <w:rsid w:val="15604521"/>
    <w:rsid w:val="15726903"/>
    <w:rsid w:val="1578138A"/>
    <w:rsid w:val="15A22D8C"/>
    <w:rsid w:val="15AB6C0F"/>
    <w:rsid w:val="15AF7257"/>
    <w:rsid w:val="15B609B3"/>
    <w:rsid w:val="15BB3E4D"/>
    <w:rsid w:val="15DB5367"/>
    <w:rsid w:val="15DE0CF5"/>
    <w:rsid w:val="15E35542"/>
    <w:rsid w:val="15FF23F7"/>
    <w:rsid w:val="16315EBE"/>
    <w:rsid w:val="16810BF3"/>
    <w:rsid w:val="169326D4"/>
    <w:rsid w:val="16B8213B"/>
    <w:rsid w:val="16BD4B49"/>
    <w:rsid w:val="16BF796D"/>
    <w:rsid w:val="16C531D6"/>
    <w:rsid w:val="16F2564D"/>
    <w:rsid w:val="17084E70"/>
    <w:rsid w:val="170F5060"/>
    <w:rsid w:val="171D1FCA"/>
    <w:rsid w:val="173D23C0"/>
    <w:rsid w:val="17444EB7"/>
    <w:rsid w:val="175956CC"/>
    <w:rsid w:val="1773582D"/>
    <w:rsid w:val="17793FC0"/>
    <w:rsid w:val="179411ED"/>
    <w:rsid w:val="17BF71A9"/>
    <w:rsid w:val="17D02652"/>
    <w:rsid w:val="17D83747"/>
    <w:rsid w:val="181F78CD"/>
    <w:rsid w:val="18267CA4"/>
    <w:rsid w:val="183471DC"/>
    <w:rsid w:val="18500874"/>
    <w:rsid w:val="18950986"/>
    <w:rsid w:val="18BC0D75"/>
    <w:rsid w:val="18BC70D4"/>
    <w:rsid w:val="18ED6A14"/>
    <w:rsid w:val="19071251"/>
    <w:rsid w:val="192F59D1"/>
    <w:rsid w:val="193058E6"/>
    <w:rsid w:val="194B54E8"/>
    <w:rsid w:val="19572330"/>
    <w:rsid w:val="19A15454"/>
    <w:rsid w:val="19BC2A56"/>
    <w:rsid w:val="19DE635C"/>
    <w:rsid w:val="1A046C23"/>
    <w:rsid w:val="1A057317"/>
    <w:rsid w:val="1A0C0D02"/>
    <w:rsid w:val="1A1B5A97"/>
    <w:rsid w:val="1A2D1423"/>
    <w:rsid w:val="1A6C3968"/>
    <w:rsid w:val="1A7B314B"/>
    <w:rsid w:val="1A8A3DEE"/>
    <w:rsid w:val="1A95764C"/>
    <w:rsid w:val="1A9F6725"/>
    <w:rsid w:val="1AA36FBF"/>
    <w:rsid w:val="1AAC0C10"/>
    <w:rsid w:val="1B0A56DF"/>
    <w:rsid w:val="1B1078D3"/>
    <w:rsid w:val="1B14756A"/>
    <w:rsid w:val="1B1F6C2C"/>
    <w:rsid w:val="1B25303E"/>
    <w:rsid w:val="1B5215DA"/>
    <w:rsid w:val="1B58691F"/>
    <w:rsid w:val="1B6A60FA"/>
    <w:rsid w:val="1B70159F"/>
    <w:rsid w:val="1B852BE2"/>
    <w:rsid w:val="1BA57132"/>
    <w:rsid w:val="1BAD4DAF"/>
    <w:rsid w:val="1BC6429E"/>
    <w:rsid w:val="1BFE5742"/>
    <w:rsid w:val="1C2650CA"/>
    <w:rsid w:val="1C45434E"/>
    <w:rsid w:val="1C5A24DF"/>
    <w:rsid w:val="1C5B3C94"/>
    <w:rsid w:val="1C9553F8"/>
    <w:rsid w:val="1CA8012C"/>
    <w:rsid w:val="1CB33AD0"/>
    <w:rsid w:val="1CB87339"/>
    <w:rsid w:val="1CC63804"/>
    <w:rsid w:val="1CD35F20"/>
    <w:rsid w:val="1CD950E5"/>
    <w:rsid w:val="1CE70716"/>
    <w:rsid w:val="1D507ADD"/>
    <w:rsid w:val="1D6265F9"/>
    <w:rsid w:val="1D8E29C0"/>
    <w:rsid w:val="1D9A07EC"/>
    <w:rsid w:val="1D9E208B"/>
    <w:rsid w:val="1DF6144C"/>
    <w:rsid w:val="1E146D3B"/>
    <w:rsid w:val="1E3C5517"/>
    <w:rsid w:val="1E403142"/>
    <w:rsid w:val="1E442005"/>
    <w:rsid w:val="1E733517"/>
    <w:rsid w:val="1EA44D1C"/>
    <w:rsid w:val="1EB11F91"/>
    <w:rsid w:val="1EDC3843"/>
    <w:rsid w:val="1EDD6BE3"/>
    <w:rsid w:val="1F022AED"/>
    <w:rsid w:val="1F205219"/>
    <w:rsid w:val="1F2B2AFE"/>
    <w:rsid w:val="1F356C13"/>
    <w:rsid w:val="1F374545"/>
    <w:rsid w:val="1F9F6868"/>
    <w:rsid w:val="1FBA5176"/>
    <w:rsid w:val="1FBE23F0"/>
    <w:rsid w:val="1FDA1374"/>
    <w:rsid w:val="1FF73CD4"/>
    <w:rsid w:val="20062169"/>
    <w:rsid w:val="20087C8F"/>
    <w:rsid w:val="203171E6"/>
    <w:rsid w:val="2039439C"/>
    <w:rsid w:val="205E7CEB"/>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70626B"/>
    <w:rsid w:val="21874F17"/>
    <w:rsid w:val="21C36564"/>
    <w:rsid w:val="21DE339D"/>
    <w:rsid w:val="21E32762"/>
    <w:rsid w:val="21E549AF"/>
    <w:rsid w:val="221A1EFC"/>
    <w:rsid w:val="22285571"/>
    <w:rsid w:val="22460F43"/>
    <w:rsid w:val="22596EC8"/>
    <w:rsid w:val="22742880"/>
    <w:rsid w:val="22B44C08"/>
    <w:rsid w:val="22C42014"/>
    <w:rsid w:val="22CA3922"/>
    <w:rsid w:val="22D905B4"/>
    <w:rsid w:val="22DD5403"/>
    <w:rsid w:val="22E54C87"/>
    <w:rsid w:val="22F369D5"/>
    <w:rsid w:val="23241284"/>
    <w:rsid w:val="23386ADD"/>
    <w:rsid w:val="233D2346"/>
    <w:rsid w:val="234A05BF"/>
    <w:rsid w:val="235455B9"/>
    <w:rsid w:val="235558E1"/>
    <w:rsid w:val="2358717F"/>
    <w:rsid w:val="23735D67"/>
    <w:rsid w:val="23A12365"/>
    <w:rsid w:val="23B1063E"/>
    <w:rsid w:val="23B91597"/>
    <w:rsid w:val="23C30A9D"/>
    <w:rsid w:val="23CD3AA8"/>
    <w:rsid w:val="23DC1B5F"/>
    <w:rsid w:val="23E24555"/>
    <w:rsid w:val="23E34921"/>
    <w:rsid w:val="241A52B3"/>
    <w:rsid w:val="24235C70"/>
    <w:rsid w:val="24246EC1"/>
    <w:rsid w:val="24697450"/>
    <w:rsid w:val="24D30DC7"/>
    <w:rsid w:val="24EF7670"/>
    <w:rsid w:val="24FB4266"/>
    <w:rsid w:val="251D41DD"/>
    <w:rsid w:val="252E7EED"/>
    <w:rsid w:val="2533755C"/>
    <w:rsid w:val="25357778"/>
    <w:rsid w:val="25382DC5"/>
    <w:rsid w:val="25387269"/>
    <w:rsid w:val="2543137B"/>
    <w:rsid w:val="257064E3"/>
    <w:rsid w:val="257D4C7B"/>
    <w:rsid w:val="259A3A7F"/>
    <w:rsid w:val="25DD571A"/>
    <w:rsid w:val="26025757"/>
    <w:rsid w:val="261E645E"/>
    <w:rsid w:val="2629095F"/>
    <w:rsid w:val="2641331F"/>
    <w:rsid w:val="26546F2F"/>
    <w:rsid w:val="267267AA"/>
    <w:rsid w:val="26770F44"/>
    <w:rsid w:val="269E759F"/>
    <w:rsid w:val="26AB5818"/>
    <w:rsid w:val="26B26BA7"/>
    <w:rsid w:val="26D22DA5"/>
    <w:rsid w:val="2701786C"/>
    <w:rsid w:val="270D56CC"/>
    <w:rsid w:val="270F7B55"/>
    <w:rsid w:val="27321263"/>
    <w:rsid w:val="27624129"/>
    <w:rsid w:val="277912C8"/>
    <w:rsid w:val="27985ED8"/>
    <w:rsid w:val="27A079C4"/>
    <w:rsid w:val="27DB5851"/>
    <w:rsid w:val="27F2197C"/>
    <w:rsid w:val="282C7AB8"/>
    <w:rsid w:val="28A7153D"/>
    <w:rsid w:val="28E84B02"/>
    <w:rsid w:val="29211DC2"/>
    <w:rsid w:val="29285178"/>
    <w:rsid w:val="29341AF5"/>
    <w:rsid w:val="29475CCC"/>
    <w:rsid w:val="294F2DD3"/>
    <w:rsid w:val="29542197"/>
    <w:rsid w:val="298F4F7D"/>
    <w:rsid w:val="299541D4"/>
    <w:rsid w:val="29954C89"/>
    <w:rsid w:val="29A24CB1"/>
    <w:rsid w:val="29A9603F"/>
    <w:rsid w:val="29AA4AAD"/>
    <w:rsid w:val="29B6075C"/>
    <w:rsid w:val="2A01303C"/>
    <w:rsid w:val="2A0621F8"/>
    <w:rsid w:val="2A11146E"/>
    <w:rsid w:val="2A12052C"/>
    <w:rsid w:val="2A2D4009"/>
    <w:rsid w:val="2A2D5A7F"/>
    <w:rsid w:val="2A497119"/>
    <w:rsid w:val="2A636B36"/>
    <w:rsid w:val="2A6D1762"/>
    <w:rsid w:val="2ABC7FF4"/>
    <w:rsid w:val="2ADE61BC"/>
    <w:rsid w:val="2B0551B1"/>
    <w:rsid w:val="2B0B4AD7"/>
    <w:rsid w:val="2B1C4D6B"/>
    <w:rsid w:val="2B3B78B5"/>
    <w:rsid w:val="2B520562"/>
    <w:rsid w:val="2B577997"/>
    <w:rsid w:val="2B85488A"/>
    <w:rsid w:val="2B856638"/>
    <w:rsid w:val="2B91322F"/>
    <w:rsid w:val="2BB1742D"/>
    <w:rsid w:val="2BE45A54"/>
    <w:rsid w:val="2BEF7F55"/>
    <w:rsid w:val="2BF81500"/>
    <w:rsid w:val="2C163855"/>
    <w:rsid w:val="2C464019"/>
    <w:rsid w:val="2C567FD4"/>
    <w:rsid w:val="2C622E1D"/>
    <w:rsid w:val="2C7F577D"/>
    <w:rsid w:val="2C8763E0"/>
    <w:rsid w:val="2CD45AC9"/>
    <w:rsid w:val="2D141FBD"/>
    <w:rsid w:val="2D346567"/>
    <w:rsid w:val="2D450775"/>
    <w:rsid w:val="2D460049"/>
    <w:rsid w:val="2D5877CF"/>
    <w:rsid w:val="2D591084"/>
    <w:rsid w:val="2D6819FE"/>
    <w:rsid w:val="2D6F134E"/>
    <w:rsid w:val="2D7340DD"/>
    <w:rsid w:val="2D7B4196"/>
    <w:rsid w:val="2D8E487C"/>
    <w:rsid w:val="2DA43BBB"/>
    <w:rsid w:val="2DA95518"/>
    <w:rsid w:val="2DCE005C"/>
    <w:rsid w:val="2DD65871"/>
    <w:rsid w:val="2DDB4C35"/>
    <w:rsid w:val="2E13617D"/>
    <w:rsid w:val="2E1665D1"/>
    <w:rsid w:val="2E291E44"/>
    <w:rsid w:val="2E4667E7"/>
    <w:rsid w:val="2E4A3E34"/>
    <w:rsid w:val="2E556795"/>
    <w:rsid w:val="2E60796D"/>
    <w:rsid w:val="2E664D30"/>
    <w:rsid w:val="2E9B7198"/>
    <w:rsid w:val="2EB61431"/>
    <w:rsid w:val="2EC721CD"/>
    <w:rsid w:val="2ECE6063"/>
    <w:rsid w:val="2ED925F4"/>
    <w:rsid w:val="2EE93382"/>
    <w:rsid w:val="2EEC3C2A"/>
    <w:rsid w:val="2EEC4152"/>
    <w:rsid w:val="2EF011A9"/>
    <w:rsid w:val="2F1321AD"/>
    <w:rsid w:val="2F1403FE"/>
    <w:rsid w:val="2F2E58BC"/>
    <w:rsid w:val="2FB120F1"/>
    <w:rsid w:val="2FB67708"/>
    <w:rsid w:val="2FC17E5A"/>
    <w:rsid w:val="2FC376E5"/>
    <w:rsid w:val="2FC82BFF"/>
    <w:rsid w:val="2FCA0440"/>
    <w:rsid w:val="2FD80210"/>
    <w:rsid w:val="2FD80372"/>
    <w:rsid w:val="2FEC4ED7"/>
    <w:rsid w:val="2FEE24CD"/>
    <w:rsid w:val="2FF95846"/>
    <w:rsid w:val="30003E69"/>
    <w:rsid w:val="301A6B14"/>
    <w:rsid w:val="30275F10"/>
    <w:rsid w:val="3038011D"/>
    <w:rsid w:val="30696528"/>
    <w:rsid w:val="3071674E"/>
    <w:rsid w:val="3092366E"/>
    <w:rsid w:val="309A4933"/>
    <w:rsid w:val="30BF1DA1"/>
    <w:rsid w:val="30C13C6B"/>
    <w:rsid w:val="30CE0F36"/>
    <w:rsid w:val="30E402A4"/>
    <w:rsid w:val="3106646D"/>
    <w:rsid w:val="310B546B"/>
    <w:rsid w:val="311B745B"/>
    <w:rsid w:val="311F196C"/>
    <w:rsid w:val="314C7472"/>
    <w:rsid w:val="318C4BC4"/>
    <w:rsid w:val="31905D36"/>
    <w:rsid w:val="31992E3D"/>
    <w:rsid w:val="31BB4C14"/>
    <w:rsid w:val="31C37EBA"/>
    <w:rsid w:val="320F30FF"/>
    <w:rsid w:val="32275CB2"/>
    <w:rsid w:val="322F554F"/>
    <w:rsid w:val="3239017C"/>
    <w:rsid w:val="3240775C"/>
    <w:rsid w:val="324A4137"/>
    <w:rsid w:val="32586854"/>
    <w:rsid w:val="32770A74"/>
    <w:rsid w:val="32785148"/>
    <w:rsid w:val="32805DAB"/>
    <w:rsid w:val="329110B5"/>
    <w:rsid w:val="32AF043E"/>
    <w:rsid w:val="32B20E8F"/>
    <w:rsid w:val="32C64C44"/>
    <w:rsid w:val="32C74601"/>
    <w:rsid w:val="32E013BF"/>
    <w:rsid w:val="330E1609"/>
    <w:rsid w:val="33462B51"/>
    <w:rsid w:val="33753436"/>
    <w:rsid w:val="3379430E"/>
    <w:rsid w:val="33E572FC"/>
    <w:rsid w:val="34084EE4"/>
    <w:rsid w:val="345A40B4"/>
    <w:rsid w:val="348E4BCA"/>
    <w:rsid w:val="34CC4FD9"/>
    <w:rsid w:val="34E6283D"/>
    <w:rsid w:val="34E72111"/>
    <w:rsid w:val="34F327CB"/>
    <w:rsid w:val="35447C1F"/>
    <w:rsid w:val="35642417"/>
    <w:rsid w:val="35C81F43"/>
    <w:rsid w:val="35D72186"/>
    <w:rsid w:val="35D7239F"/>
    <w:rsid w:val="35FC5E78"/>
    <w:rsid w:val="361E799B"/>
    <w:rsid w:val="362265DD"/>
    <w:rsid w:val="365C268B"/>
    <w:rsid w:val="365D1743"/>
    <w:rsid w:val="3699568D"/>
    <w:rsid w:val="369B006A"/>
    <w:rsid w:val="36ED19B2"/>
    <w:rsid w:val="36F32FEF"/>
    <w:rsid w:val="371148B0"/>
    <w:rsid w:val="37242980"/>
    <w:rsid w:val="376C4B50"/>
    <w:rsid w:val="377D6D5D"/>
    <w:rsid w:val="37A34A15"/>
    <w:rsid w:val="37AB1B1C"/>
    <w:rsid w:val="37AD49B3"/>
    <w:rsid w:val="37BB3A75"/>
    <w:rsid w:val="37E56DDC"/>
    <w:rsid w:val="37EB3CC7"/>
    <w:rsid w:val="37F30DCD"/>
    <w:rsid w:val="38547ABE"/>
    <w:rsid w:val="385C6972"/>
    <w:rsid w:val="3870241E"/>
    <w:rsid w:val="38730AA5"/>
    <w:rsid w:val="38F34E7F"/>
    <w:rsid w:val="392245DA"/>
    <w:rsid w:val="392A06C6"/>
    <w:rsid w:val="393618B9"/>
    <w:rsid w:val="39592208"/>
    <w:rsid w:val="396F26D5"/>
    <w:rsid w:val="397703E0"/>
    <w:rsid w:val="399A1E48"/>
    <w:rsid w:val="3A0230D8"/>
    <w:rsid w:val="3A1A0893"/>
    <w:rsid w:val="3A1F129B"/>
    <w:rsid w:val="3A2462C0"/>
    <w:rsid w:val="3A312C2F"/>
    <w:rsid w:val="3A4B1969"/>
    <w:rsid w:val="3A6164C2"/>
    <w:rsid w:val="3A684667"/>
    <w:rsid w:val="3A6F2772"/>
    <w:rsid w:val="3A767CC3"/>
    <w:rsid w:val="3A8B353F"/>
    <w:rsid w:val="3A9C5C09"/>
    <w:rsid w:val="3AC84793"/>
    <w:rsid w:val="3ADB6274"/>
    <w:rsid w:val="3B17625C"/>
    <w:rsid w:val="3B4545C2"/>
    <w:rsid w:val="3B5D4EDB"/>
    <w:rsid w:val="3B8A1885"/>
    <w:rsid w:val="3BE719FB"/>
    <w:rsid w:val="3BF375EE"/>
    <w:rsid w:val="3C045180"/>
    <w:rsid w:val="3C0B4937"/>
    <w:rsid w:val="3C273A53"/>
    <w:rsid w:val="3C7324DC"/>
    <w:rsid w:val="3CA164D5"/>
    <w:rsid w:val="3CB90837"/>
    <w:rsid w:val="3CF47AC1"/>
    <w:rsid w:val="3CFC0724"/>
    <w:rsid w:val="3D071149"/>
    <w:rsid w:val="3D0A4BEF"/>
    <w:rsid w:val="3D356E72"/>
    <w:rsid w:val="3D477BF1"/>
    <w:rsid w:val="3D6469F5"/>
    <w:rsid w:val="3D7038E4"/>
    <w:rsid w:val="3D8C02D2"/>
    <w:rsid w:val="3D8D7DF6"/>
    <w:rsid w:val="3DB42DAD"/>
    <w:rsid w:val="3DD841DC"/>
    <w:rsid w:val="3E0B6E71"/>
    <w:rsid w:val="3E26401E"/>
    <w:rsid w:val="3E293777"/>
    <w:rsid w:val="3E2E2399"/>
    <w:rsid w:val="3E5A1739"/>
    <w:rsid w:val="3E773CC4"/>
    <w:rsid w:val="3E9D58CC"/>
    <w:rsid w:val="3EB52009"/>
    <w:rsid w:val="3EC51715"/>
    <w:rsid w:val="3EE14075"/>
    <w:rsid w:val="3EF773F5"/>
    <w:rsid w:val="3F68261E"/>
    <w:rsid w:val="3F724CCD"/>
    <w:rsid w:val="3F732F1F"/>
    <w:rsid w:val="3F972E59"/>
    <w:rsid w:val="3FA330D9"/>
    <w:rsid w:val="3FB928FC"/>
    <w:rsid w:val="3FD339BE"/>
    <w:rsid w:val="40041DC9"/>
    <w:rsid w:val="40093EB5"/>
    <w:rsid w:val="404E33A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6A7782"/>
    <w:rsid w:val="426C1EA8"/>
    <w:rsid w:val="42A67168"/>
    <w:rsid w:val="42A72EE0"/>
    <w:rsid w:val="42A96C58"/>
    <w:rsid w:val="42C81E5A"/>
    <w:rsid w:val="42D812EB"/>
    <w:rsid w:val="42E6709F"/>
    <w:rsid w:val="432B4C89"/>
    <w:rsid w:val="432E75E9"/>
    <w:rsid w:val="43356E10"/>
    <w:rsid w:val="43374264"/>
    <w:rsid w:val="4355099C"/>
    <w:rsid w:val="4368266F"/>
    <w:rsid w:val="438356FB"/>
    <w:rsid w:val="439E6D9C"/>
    <w:rsid w:val="43B43B06"/>
    <w:rsid w:val="43C23312"/>
    <w:rsid w:val="43CB6E54"/>
    <w:rsid w:val="43F839F3"/>
    <w:rsid w:val="43FE3C8D"/>
    <w:rsid w:val="44112D07"/>
    <w:rsid w:val="44114AB5"/>
    <w:rsid w:val="441F3676"/>
    <w:rsid w:val="44694C1E"/>
    <w:rsid w:val="44714119"/>
    <w:rsid w:val="44805DDA"/>
    <w:rsid w:val="448B53DB"/>
    <w:rsid w:val="44A76ACB"/>
    <w:rsid w:val="44C63AF1"/>
    <w:rsid w:val="44DE52DF"/>
    <w:rsid w:val="44F4799B"/>
    <w:rsid w:val="45012241"/>
    <w:rsid w:val="450E7246"/>
    <w:rsid w:val="45306956"/>
    <w:rsid w:val="4538389E"/>
    <w:rsid w:val="453C2005"/>
    <w:rsid w:val="45575091"/>
    <w:rsid w:val="4577576C"/>
    <w:rsid w:val="457E0246"/>
    <w:rsid w:val="45D264C6"/>
    <w:rsid w:val="462A00B0"/>
    <w:rsid w:val="463827CD"/>
    <w:rsid w:val="46650793"/>
    <w:rsid w:val="4665733A"/>
    <w:rsid w:val="468A6DA0"/>
    <w:rsid w:val="46A55352"/>
    <w:rsid w:val="46BF3AEA"/>
    <w:rsid w:val="46D00C57"/>
    <w:rsid w:val="46D06EA9"/>
    <w:rsid w:val="46E666CD"/>
    <w:rsid w:val="46FF32EA"/>
    <w:rsid w:val="47316912"/>
    <w:rsid w:val="47332F94"/>
    <w:rsid w:val="473407B4"/>
    <w:rsid w:val="473668D2"/>
    <w:rsid w:val="473A07C7"/>
    <w:rsid w:val="473E35E1"/>
    <w:rsid w:val="47486A40"/>
    <w:rsid w:val="47541888"/>
    <w:rsid w:val="475D1F08"/>
    <w:rsid w:val="4770243A"/>
    <w:rsid w:val="477675E4"/>
    <w:rsid w:val="47915049"/>
    <w:rsid w:val="47946129"/>
    <w:rsid w:val="47B4689E"/>
    <w:rsid w:val="47BF4370"/>
    <w:rsid w:val="47D6301D"/>
    <w:rsid w:val="47E10C42"/>
    <w:rsid w:val="48066D69"/>
    <w:rsid w:val="48127E9C"/>
    <w:rsid w:val="48194880"/>
    <w:rsid w:val="4831012F"/>
    <w:rsid w:val="48313978"/>
    <w:rsid w:val="48735D3E"/>
    <w:rsid w:val="48AE321A"/>
    <w:rsid w:val="48B22D24"/>
    <w:rsid w:val="48BD520B"/>
    <w:rsid w:val="48CF31C6"/>
    <w:rsid w:val="48DC24D8"/>
    <w:rsid w:val="48E00EFA"/>
    <w:rsid w:val="493D6D81"/>
    <w:rsid w:val="494075D7"/>
    <w:rsid w:val="49417BEA"/>
    <w:rsid w:val="494D2A33"/>
    <w:rsid w:val="49507E2D"/>
    <w:rsid w:val="496164DE"/>
    <w:rsid w:val="496E2078"/>
    <w:rsid w:val="49971FA0"/>
    <w:rsid w:val="49A93869"/>
    <w:rsid w:val="49BE748D"/>
    <w:rsid w:val="49BF26F5"/>
    <w:rsid w:val="49C07E76"/>
    <w:rsid w:val="49E2286F"/>
    <w:rsid w:val="4A183041"/>
    <w:rsid w:val="4A283338"/>
    <w:rsid w:val="4A527BD5"/>
    <w:rsid w:val="4A66298F"/>
    <w:rsid w:val="4A8E1667"/>
    <w:rsid w:val="4A8F2BD7"/>
    <w:rsid w:val="4A9C3C23"/>
    <w:rsid w:val="4AA03036"/>
    <w:rsid w:val="4ACB00B3"/>
    <w:rsid w:val="4AD131F0"/>
    <w:rsid w:val="4ADF590D"/>
    <w:rsid w:val="4ADF76BB"/>
    <w:rsid w:val="4AF75402"/>
    <w:rsid w:val="4B005883"/>
    <w:rsid w:val="4B3D0E9A"/>
    <w:rsid w:val="4B984596"/>
    <w:rsid w:val="4BBD5522"/>
    <w:rsid w:val="4BBF5AEA"/>
    <w:rsid w:val="4BD411EA"/>
    <w:rsid w:val="4BD71992"/>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F130F"/>
    <w:rsid w:val="4CC05143"/>
    <w:rsid w:val="4CEF71A5"/>
    <w:rsid w:val="4D0E2EA6"/>
    <w:rsid w:val="4D4B54DB"/>
    <w:rsid w:val="4D4D1254"/>
    <w:rsid w:val="4D5F6B21"/>
    <w:rsid w:val="4D641D9D"/>
    <w:rsid w:val="4D655222"/>
    <w:rsid w:val="4DAA551A"/>
    <w:rsid w:val="4DB27309"/>
    <w:rsid w:val="4DB5333B"/>
    <w:rsid w:val="4DBC6C0B"/>
    <w:rsid w:val="4DEB281B"/>
    <w:rsid w:val="4DF3329F"/>
    <w:rsid w:val="4E006DA4"/>
    <w:rsid w:val="4E140649"/>
    <w:rsid w:val="4E157897"/>
    <w:rsid w:val="4E277EE2"/>
    <w:rsid w:val="4E393586"/>
    <w:rsid w:val="4E5502CF"/>
    <w:rsid w:val="4E6B6DC6"/>
    <w:rsid w:val="4E8332C9"/>
    <w:rsid w:val="4E8862BB"/>
    <w:rsid w:val="4E946AE6"/>
    <w:rsid w:val="4E992277"/>
    <w:rsid w:val="4EA037B3"/>
    <w:rsid w:val="4EA76741"/>
    <w:rsid w:val="4EAA640A"/>
    <w:rsid w:val="4EBF51DF"/>
    <w:rsid w:val="4EEA0066"/>
    <w:rsid w:val="4EEC05F8"/>
    <w:rsid w:val="4EFC4837"/>
    <w:rsid w:val="4F111E0D"/>
    <w:rsid w:val="4F3F655F"/>
    <w:rsid w:val="4F457D08"/>
    <w:rsid w:val="4F465D75"/>
    <w:rsid w:val="4F4D0041"/>
    <w:rsid w:val="4F672393"/>
    <w:rsid w:val="4F776045"/>
    <w:rsid w:val="4FA15887"/>
    <w:rsid w:val="4FA7451F"/>
    <w:rsid w:val="4FD35314"/>
    <w:rsid w:val="4FE47521"/>
    <w:rsid w:val="4FE6773D"/>
    <w:rsid w:val="4FE94B38"/>
    <w:rsid w:val="500A7DDA"/>
    <w:rsid w:val="502B33A2"/>
    <w:rsid w:val="503E4E84"/>
    <w:rsid w:val="50484174"/>
    <w:rsid w:val="504D3319"/>
    <w:rsid w:val="50615016"/>
    <w:rsid w:val="5075461D"/>
    <w:rsid w:val="50770396"/>
    <w:rsid w:val="508F56DF"/>
    <w:rsid w:val="509701A3"/>
    <w:rsid w:val="50A15A31"/>
    <w:rsid w:val="50B52456"/>
    <w:rsid w:val="50E934F1"/>
    <w:rsid w:val="50FD0E4D"/>
    <w:rsid w:val="51036279"/>
    <w:rsid w:val="510D2ABC"/>
    <w:rsid w:val="51181B78"/>
    <w:rsid w:val="512A1E16"/>
    <w:rsid w:val="515F1555"/>
    <w:rsid w:val="51722E57"/>
    <w:rsid w:val="51C07B1A"/>
    <w:rsid w:val="51FF7701"/>
    <w:rsid w:val="522105B9"/>
    <w:rsid w:val="525564B4"/>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932594"/>
    <w:rsid w:val="54986C87"/>
    <w:rsid w:val="54B84D52"/>
    <w:rsid w:val="54C24E9D"/>
    <w:rsid w:val="54D45DB6"/>
    <w:rsid w:val="54EA55DA"/>
    <w:rsid w:val="54F309DA"/>
    <w:rsid w:val="5511772D"/>
    <w:rsid w:val="552515D6"/>
    <w:rsid w:val="55401C37"/>
    <w:rsid w:val="5543118E"/>
    <w:rsid w:val="55480552"/>
    <w:rsid w:val="556E1D04"/>
    <w:rsid w:val="55801A9A"/>
    <w:rsid w:val="55822579"/>
    <w:rsid w:val="558E2409"/>
    <w:rsid w:val="55D7633F"/>
    <w:rsid w:val="55E57336"/>
    <w:rsid w:val="55FC3817"/>
    <w:rsid w:val="56334145"/>
    <w:rsid w:val="56595C72"/>
    <w:rsid w:val="568332F5"/>
    <w:rsid w:val="568832FC"/>
    <w:rsid w:val="569C0B56"/>
    <w:rsid w:val="56A14AB8"/>
    <w:rsid w:val="56AB0D99"/>
    <w:rsid w:val="56C20A78"/>
    <w:rsid w:val="570D5D05"/>
    <w:rsid w:val="57193F55"/>
    <w:rsid w:val="571A6972"/>
    <w:rsid w:val="57283E15"/>
    <w:rsid w:val="57603931"/>
    <w:rsid w:val="57684EDC"/>
    <w:rsid w:val="576D24F2"/>
    <w:rsid w:val="57827D4C"/>
    <w:rsid w:val="578515EA"/>
    <w:rsid w:val="578B7EF1"/>
    <w:rsid w:val="579932E7"/>
    <w:rsid w:val="57A01C89"/>
    <w:rsid w:val="57A75A04"/>
    <w:rsid w:val="57CE11E3"/>
    <w:rsid w:val="57D865B1"/>
    <w:rsid w:val="57E502DB"/>
    <w:rsid w:val="57E51E7A"/>
    <w:rsid w:val="57EF1159"/>
    <w:rsid w:val="5803005A"/>
    <w:rsid w:val="580F7106"/>
    <w:rsid w:val="581A61D6"/>
    <w:rsid w:val="58222F7D"/>
    <w:rsid w:val="583E357E"/>
    <w:rsid w:val="58532F19"/>
    <w:rsid w:val="58742FC8"/>
    <w:rsid w:val="5889510A"/>
    <w:rsid w:val="589917F1"/>
    <w:rsid w:val="58AD3FE7"/>
    <w:rsid w:val="58BF6D7E"/>
    <w:rsid w:val="58DD0FB2"/>
    <w:rsid w:val="59072D82"/>
    <w:rsid w:val="590D7AE9"/>
    <w:rsid w:val="591075D9"/>
    <w:rsid w:val="591A4836"/>
    <w:rsid w:val="593432C8"/>
    <w:rsid w:val="59495988"/>
    <w:rsid w:val="59594ADC"/>
    <w:rsid w:val="596A0A97"/>
    <w:rsid w:val="59790C40"/>
    <w:rsid w:val="59D95C1D"/>
    <w:rsid w:val="59DD395F"/>
    <w:rsid w:val="59F3663D"/>
    <w:rsid w:val="5A022C86"/>
    <w:rsid w:val="5A095DE3"/>
    <w:rsid w:val="5A221372"/>
    <w:rsid w:val="5A2813B3"/>
    <w:rsid w:val="5A2B5B3C"/>
    <w:rsid w:val="5A2E7D17"/>
    <w:rsid w:val="5A4404D4"/>
    <w:rsid w:val="5A4532B2"/>
    <w:rsid w:val="5A4C1CAA"/>
    <w:rsid w:val="5A643739"/>
    <w:rsid w:val="5A6951F3"/>
    <w:rsid w:val="5A6E2809"/>
    <w:rsid w:val="5A9658BC"/>
    <w:rsid w:val="5AA56DC0"/>
    <w:rsid w:val="5AA71877"/>
    <w:rsid w:val="5ADD34EB"/>
    <w:rsid w:val="5AF35B26"/>
    <w:rsid w:val="5AF52A96"/>
    <w:rsid w:val="5B0D2022"/>
    <w:rsid w:val="5B0E18F6"/>
    <w:rsid w:val="5B2E7DD0"/>
    <w:rsid w:val="5B433C96"/>
    <w:rsid w:val="5B557525"/>
    <w:rsid w:val="5B9F76C2"/>
    <w:rsid w:val="5BAB66FD"/>
    <w:rsid w:val="5BAE60A6"/>
    <w:rsid w:val="5BB110D5"/>
    <w:rsid w:val="5BE93A0D"/>
    <w:rsid w:val="5BF5743A"/>
    <w:rsid w:val="5BF70B82"/>
    <w:rsid w:val="5C5F68AD"/>
    <w:rsid w:val="5C716AEB"/>
    <w:rsid w:val="5CB96ED3"/>
    <w:rsid w:val="5CBC018E"/>
    <w:rsid w:val="5CC130C4"/>
    <w:rsid w:val="5CD90ADF"/>
    <w:rsid w:val="5CDA23D8"/>
    <w:rsid w:val="5CFB5F03"/>
    <w:rsid w:val="5D042FB1"/>
    <w:rsid w:val="5D0A2AEA"/>
    <w:rsid w:val="5D1256CE"/>
    <w:rsid w:val="5D1839D2"/>
    <w:rsid w:val="5D2C0B5A"/>
    <w:rsid w:val="5D3A0B7E"/>
    <w:rsid w:val="5D413DC8"/>
    <w:rsid w:val="5D7D18C9"/>
    <w:rsid w:val="5D7E7207"/>
    <w:rsid w:val="5D7F6ADB"/>
    <w:rsid w:val="5D89410D"/>
    <w:rsid w:val="5D8B1DDF"/>
    <w:rsid w:val="5DA30A1C"/>
    <w:rsid w:val="5DA37015"/>
    <w:rsid w:val="5DD706C5"/>
    <w:rsid w:val="5DDE6A2E"/>
    <w:rsid w:val="5DED0627"/>
    <w:rsid w:val="5E20206C"/>
    <w:rsid w:val="5E277060"/>
    <w:rsid w:val="5E2F405E"/>
    <w:rsid w:val="5E3653EC"/>
    <w:rsid w:val="5E4C10B3"/>
    <w:rsid w:val="5E5166CA"/>
    <w:rsid w:val="5E5C74E0"/>
    <w:rsid w:val="5E933CA6"/>
    <w:rsid w:val="5E9828C6"/>
    <w:rsid w:val="5EA17573"/>
    <w:rsid w:val="5EB50523"/>
    <w:rsid w:val="5EE42426"/>
    <w:rsid w:val="5EEA3FC9"/>
    <w:rsid w:val="5EF42D65"/>
    <w:rsid w:val="5F2359CC"/>
    <w:rsid w:val="5F426012"/>
    <w:rsid w:val="5F6F5649"/>
    <w:rsid w:val="5F8F28CB"/>
    <w:rsid w:val="5F93061C"/>
    <w:rsid w:val="5FA10F8B"/>
    <w:rsid w:val="5FCB6008"/>
    <w:rsid w:val="5FE16210"/>
    <w:rsid w:val="5FE315A4"/>
    <w:rsid w:val="6022064D"/>
    <w:rsid w:val="60313C08"/>
    <w:rsid w:val="60347C37"/>
    <w:rsid w:val="60372B4A"/>
    <w:rsid w:val="60557B18"/>
    <w:rsid w:val="60754A11"/>
    <w:rsid w:val="60AC408B"/>
    <w:rsid w:val="60CF7CC8"/>
    <w:rsid w:val="60E34404"/>
    <w:rsid w:val="60EA66AB"/>
    <w:rsid w:val="619D39D4"/>
    <w:rsid w:val="61FE0917"/>
    <w:rsid w:val="62126170"/>
    <w:rsid w:val="62426A55"/>
    <w:rsid w:val="626A1B08"/>
    <w:rsid w:val="627209BD"/>
    <w:rsid w:val="627328A6"/>
    <w:rsid w:val="627D581B"/>
    <w:rsid w:val="62AA45FB"/>
    <w:rsid w:val="62C23D55"/>
    <w:rsid w:val="62D43425"/>
    <w:rsid w:val="6310019E"/>
    <w:rsid w:val="63852E37"/>
    <w:rsid w:val="639C1C0E"/>
    <w:rsid w:val="63C27722"/>
    <w:rsid w:val="63CD67F3"/>
    <w:rsid w:val="640970FF"/>
    <w:rsid w:val="640D6BEF"/>
    <w:rsid w:val="641461CF"/>
    <w:rsid w:val="641B2CD8"/>
    <w:rsid w:val="6449399F"/>
    <w:rsid w:val="64591E34"/>
    <w:rsid w:val="645C4626"/>
    <w:rsid w:val="646F78AA"/>
    <w:rsid w:val="648F27B3"/>
    <w:rsid w:val="649B41FB"/>
    <w:rsid w:val="64AC57D2"/>
    <w:rsid w:val="64CC6AAA"/>
    <w:rsid w:val="64D464F7"/>
    <w:rsid w:val="64F13BA3"/>
    <w:rsid w:val="64F14134"/>
    <w:rsid w:val="64FF4C15"/>
    <w:rsid w:val="652F3854"/>
    <w:rsid w:val="65393A14"/>
    <w:rsid w:val="65397CE8"/>
    <w:rsid w:val="653F0EE3"/>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5925BF"/>
    <w:rsid w:val="665C3E5E"/>
    <w:rsid w:val="667A42E4"/>
    <w:rsid w:val="66815672"/>
    <w:rsid w:val="669435F8"/>
    <w:rsid w:val="66A3383B"/>
    <w:rsid w:val="66A36D8F"/>
    <w:rsid w:val="66B16355"/>
    <w:rsid w:val="66B71094"/>
    <w:rsid w:val="66BB0B84"/>
    <w:rsid w:val="66C70B33"/>
    <w:rsid w:val="66D87988"/>
    <w:rsid w:val="66E5278A"/>
    <w:rsid w:val="66EC180C"/>
    <w:rsid w:val="670267B3"/>
    <w:rsid w:val="67144738"/>
    <w:rsid w:val="671E6562"/>
    <w:rsid w:val="674039D2"/>
    <w:rsid w:val="6759039D"/>
    <w:rsid w:val="67815279"/>
    <w:rsid w:val="67A535E2"/>
    <w:rsid w:val="67A73EDA"/>
    <w:rsid w:val="67BD26DA"/>
    <w:rsid w:val="68071BA7"/>
    <w:rsid w:val="683330C2"/>
    <w:rsid w:val="684D3705"/>
    <w:rsid w:val="684D7F02"/>
    <w:rsid w:val="68637725"/>
    <w:rsid w:val="688B0A2A"/>
    <w:rsid w:val="688C0519"/>
    <w:rsid w:val="689618A9"/>
    <w:rsid w:val="68B06EB8"/>
    <w:rsid w:val="68B90CE5"/>
    <w:rsid w:val="68BC5088"/>
    <w:rsid w:val="68BE2792"/>
    <w:rsid w:val="68C87EC4"/>
    <w:rsid w:val="69110F2F"/>
    <w:rsid w:val="69180510"/>
    <w:rsid w:val="692073C4"/>
    <w:rsid w:val="69256789"/>
    <w:rsid w:val="694B229D"/>
    <w:rsid w:val="69747710"/>
    <w:rsid w:val="69884D83"/>
    <w:rsid w:val="698A2B79"/>
    <w:rsid w:val="6999082B"/>
    <w:rsid w:val="69CE6E20"/>
    <w:rsid w:val="6A1F58CE"/>
    <w:rsid w:val="6A225EDF"/>
    <w:rsid w:val="6A304492"/>
    <w:rsid w:val="6A352CCF"/>
    <w:rsid w:val="6A694D9B"/>
    <w:rsid w:val="6A7716D3"/>
    <w:rsid w:val="6A9F07BD"/>
    <w:rsid w:val="6AA10091"/>
    <w:rsid w:val="6AAB0F10"/>
    <w:rsid w:val="6AAD4C88"/>
    <w:rsid w:val="6AE072F6"/>
    <w:rsid w:val="6AE44736"/>
    <w:rsid w:val="6AE8488B"/>
    <w:rsid w:val="6B0C1440"/>
    <w:rsid w:val="6B1C3BBC"/>
    <w:rsid w:val="6B267C34"/>
    <w:rsid w:val="6B357E73"/>
    <w:rsid w:val="6B533403"/>
    <w:rsid w:val="6B564A3E"/>
    <w:rsid w:val="6B581098"/>
    <w:rsid w:val="6B67752D"/>
    <w:rsid w:val="6B6F239C"/>
    <w:rsid w:val="6B7C319A"/>
    <w:rsid w:val="6B7D0AFE"/>
    <w:rsid w:val="6BA347D7"/>
    <w:rsid w:val="6BBA3156"/>
    <w:rsid w:val="6BD93AC6"/>
    <w:rsid w:val="6BDC4E44"/>
    <w:rsid w:val="6BF215FC"/>
    <w:rsid w:val="6BF608B1"/>
    <w:rsid w:val="6C040918"/>
    <w:rsid w:val="6C1A459F"/>
    <w:rsid w:val="6C4D4E0C"/>
    <w:rsid w:val="6C6628BD"/>
    <w:rsid w:val="6C700663"/>
    <w:rsid w:val="6C871509"/>
    <w:rsid w:val="6C9003BD"/>
    <w:rsid w:val="6C9B19F7"/>
    <w:rsid w:val="6CA66C1C"/>
    <w:rsid w:val="6CEC63D9"/>
    <w:rsid w:val="6CF85455"/>
    <w:rsid w:val="6D001942"/>
    <w:rsid w:val="6D024674"/>
    <w:rsid w:val="6D126C2B"/>
    <w:rsid w:val="6D1E21E1"/>
    <w:rsid w:val="6D3F4D9F"/>
    <w:rsid w:val="6D4713C4"/>
    <w:rsid w:val="6D7100A9"/>
    <w:rsid w:val="6D7553F4"/>
    <w:rsid w:val="6D763A57"/>
    <w:rsid w:val="6D7F2586"/>
    <w:rsid w:val="6D994052"/>
    <w:rsid w:val="6D9E6BCF"/>
    <w:rsid w:val="6DA560EA"/>
    <w:rsid w:val="6DB14A8F"/>
    <w:rsid w:val="6DB817DB"/>
    <w:rsid w:val="6DC76061"/>
    <w:rsid w:val="6DEB1A8B"/>
    <w:rsid w:val="6DEE10EF"/>
    <w:rsid w:val="6DF57072"/>
    <w:rsid w:val="6E012444"/>
    <w:rsid w:val="6E023A5A"/>
    <w:rsid w:val="6E47051F"/>
    <w:rsid w:val="6E4E6782"/>
    <w:rsid w:val="6E8421A4"/>
    <w:rsid w:val="6E8B52E0"/>
    <w:rsid w:val="6E9028F6"/>
    <w:rsid w:val="6E9D31B5"/>
    <w:rsid w:val="6F1C08D7"/>
    <w:rsid w:val="6F6F4C02"/>
    <w:rsid w:val="6F9E3859"/>
    <w:rsid w:val="6FC54F44"/>
    <w:rsid w:val="6FE23626"/>
    <w:rsid w:val="6FFD3FBC"/>
    <w:rsid w:val="70166DB8"/>
    <w:rsid w:val="70281F61"/>
    <w:rsid w:val="703F3F2B"/>
    <w:rsid w:val="70907C43"/>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26787E"/>
    <w:rsid w:val="723143F0"/>
    <w:rsid w:val="72412351"/>
    <w:rsid w:val="725F28FA"/>
    <w:rsid w:val="72B54AB0"/>
    <w:rsid w:val="72E143E4"/>
    <w:rsid w:val="732E26DE"/>
    <w:rsid w:val="733817AF"/>
    <w:rsid w:val="734E652B"/>
    <w:rsid w:val="73520AC2"/>
    <w:rsid w:val="735934CB"/>
    <w:rsid w:val="738A200A"/>
    <w:rsid w:val="738F7621"/>
    <w:rsid w:val="73AB3D2F"/>
    <w:rsid w:val="741E09A4"/>
    <w:rsid w:val="74215CFF"/>
    <w:rsid w:val="74463A57"/>
    <w:rsid w:val="744D0472"/>
    <w:rsid w:val="747E1443"/>
    <w:rsid w:val="748F3650"/>
    <w:rsid w:val="748F5F7F"/>
    <w:rsid w:val="74CE7E39"/>
    <w:rsid w:val="74DA2B1D"/>
    <w:rsid w:val="74EA5644"/>
    <w:rsid w:val="74F0745B"/>
    <w:rsid w:val="751D2A0A"/>
    <w:rsid w:val="752049D0"/>
    <w:rsid w:val="75377F70"/>
    <w:rsid w:val="753F6E24"/>
    <w:rsid w:val="75557673"/>
    <w:rsid w:val="75706FDE"/>
    <w:rsid w:val="75784795"/>
    <w:rsid w:val="757E5B9F"/>
    <w:rsid w:val="759058D2"/>
    <w:rsid w:val="759251A6"/>
    <w:rsid w:val="75976C60"/>
    <w:rsid w:val="75984529"/>
    <w:rsid w:val="75AB44BA"/>
    <w:rsid w:val="75B23A9A"/>
    <w:rsid w:val="75B50E95"/>
    <w:rsid w:val="75E30AE2"/>
    <w:rsid w:val="75F61BD9"/>
    <w:rsid w:val="761704A0"/>
    <w:rsid w:val="76171B4F"/>
    <w:rsid w:val="7629538C"/>
    <w:rsid w:val="763B05EB"/>
    <w:rsid w:val="76902AD4"/>
    <w:rsid w:val="769E5CF1"/>
    <w:rsid w:val="76BF021D"/>
    <w:rsid w:val="76BF1553"/>
    <w:rsid w:val="76D53FBA"/>
    <w:rsid w:val="76DB25B4"/>
    <w:rsid w:val="770D3E4D"/>
    <w:rsid w:val="77163BB5"/>
    <w:rsid w:val="77192C39"/>
    <w:rsid w:val="774A118D"/>
    <w:rsid w:val="774A4E63"/>
    <w:rsid w:val="778B00FF"/>
    <w:rsid w:val="77C467B0"/>
    <w:rsid w:val="77C5736E"/>
    <w:rsid w:val="77D01FB6"/>
    <w:rsid w:val="77FC0FFD"/>
    <w:rsid w:val="78104A38"/>
    <w:rsid w:val="781B0EBB"/>
    <w:rsid w:val="7836235A"/>
    <w:rsid w:val="783E33C3"/>
    <w:rsid w:val="786200A8"/>
    <w:rsid w:val="7887056F"/>
    <w:rsid w:val="78A376CA"/>
    <w:rsid w:val="78BD46E9"/>
    <w:rsid w:val="78E71CAD"/>
    <w:rsid w:val="78EF290F"/>
    <w:rsid w:val="78FD6DDA"/>
    <w:rsid w:val="7904460D"/>
    <w:rsid w:val="790C1713"/>
    <w:rsid w:val="791C3778"/>
    <w:rsid w:val="792702FB"/>
    <w:rsid w:val="792B7DEB"/>
    <w:rsid w:val="79312F28"/>
    <w:rsid w:val="794E7636"/>
    <w:rsid w:val="794F0507"/>
    <w:rsid w:val="795131D5"/>
    <w:rsid w:val="79744F4D"/>
    <w:rsid w:val="797F1EE5"/>
    <w:rsid w:val="79955265"/>
    <w:rsid w:val="79A100AE"/>
    <w:rsid w:val="79B853F7"/>
    <w:rsid w:val="79E85CDC"/>
    <w:rsid w:val="7A0F235D"/>
    <w:rsid w:val="7A145352"/>
    <w:rsid w:val="7A2533F6"/>
    <w:rsid w:val="7A340F22"/>
    <w:rsid w:val="7A620957"/>
    <w:rsid w:val="7A641988"/>
    <w:rsid w:val="7A97500D"/>
    <w:rsid w:val="7AA60D0D"/>
    <w:rsid w:val="7ABF67D9"/>
    <w:rsid w:val="7ACD0A2E"/>
    <w:rsid w:val="7ADD2C07"/>
    <w:rsid w:val="7AE83ABA"/>
    <w:rsid w:val="7AF67F85"/>
    <w:rsid w:val="7B0B27F3"/>
    <w:rsid w:val="7B113701"/>
    <w:rsid w:val="7B1D5512"/>
    <w:rsid w:val="7B234AF2"/>
    <w:rsid w:val="7B643141"/>
    <w:rsid w:val="7B7F7F7B"/>
    <w:rsid w:val="7BB340C8"/>
    <w:rsid w:val="7BBA7205"/>
    <w:rsid w:val="7BC938EC"/>
    <w:rsid w:val="7C0E31E4"/>
    <w:rsid w:val="7C304D75"/>
    <w:rsid w:val="7C6333F8"/>
    <w:rsid w:val="7C6C2E8C"/>
    <w:rsid w:val="7C743857"/>
    <w:rsid w:val="7C9F63FA"/>
    <w:rsid w:val="7CC24738"/>
    <w:rsid w:val="7CFC55FB"/>
    <w:rsid w:val="7D2863F0"/>
    <w:rsid w:val="7D3134F6"/>
    <w:rsid w:val="7D3A3CBD"/>
    <w:rsid w:val="7D4274B2"/>
    <w:rsid w:val="7D823D52"/>
    <w:rsid w:val="7D886CEB"/>
    <w:rsid w:val="7D8E26F7"/>
    <w:rsid w:val="7D996DE5"/>
    <w:rsid w:val="7DB639FC"/>
    <w:rsid w:val="7DBF167F"/>
    <w:rsid w:val="7DC12ACC"/>
    <w:rsid w:val="7DC26844"/>
    <w:rsid w:val="7DD575BE"/>
    <w:rsid w:val="7E3314F0"/>
    <w:rsid w:val="7E3722D4"/>
    <w:rsid w:val="7E661F38"/>
    <w:rsid w:val="7E730510"/>
    <w:rsid w:val="7E782B0B"/>
    <w:rsid w:val="7EB663A9"/>
    <w:rsid w:val="7EB73ECF"/>
    <w:rsid w:val="7EB75C7D"/>
    <w:rsid w:val="7EBC14E6"/>
    <w:rsid w:val="7EC41D41"/>
    <w:rsid w:val="7EC625F1"/>
    <w:rsid w:val="7ED24A71"/>
    <w:rsid w:val="7F0F4A3F"/>
    <w:rsid w:val="7F450AE4"/>
    <w:rsid w:val="7F48425D"/>
    <w:rsid w:val="7F5E434B"/>
    <w:rsid w:val="7F641806"/>
    <w:rsid w:val="7F78540D"/>
    <w:rsid w:val="7F7A47B2"/>
    <w:rsid w:val="7F963AE5"/>
    <w:rsid w:val="7F9F6E3D"/>
    <w:rsid w:val="7FA21D33"/>
    <w:rsid w:val="7FBB354B"/>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Times New Roman"/>
      <w:b/>
      <w:bCs/>
      <w:sz w:val="32"/>
      <w:szCs w:val="32"/>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Arial" w:hAnsi="Arial" w:eastAsia="Arial" w:cs="Arial"/>
      <w:szCs w:val="21"/>
      <w:lang w:eastAsia="en-US"/>
    </w:rPr>
  </w:style>
  <w:style w:type="paragraph" w:styleId="6">
    <w:name w:val="Body Text Indent"/>
    <w:basedOn w:val="1"/>
    <w:qFormat/>
    <w:uiPriority w:val="0"/>
    <w:pPr>
      <w:spacing w:after="120"/>
      <w:ind w:left="420" w:leftChars="200"/>
      <w:jc w:val="left"/>
    </w:pPr>
    <w:rPr>
      <w:rFonts w:hint="eastAsia" w:ascii="宋体" w:hAnsi="宋体" w:eastAsia="宋体"/>
      <w:kern w:val="0"/>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autoRedefine/>
    <w:qFormat/>
    <w:uiPriority w:val="0"/>
    <w:pPr>
      <w:ind w:firstLine="420"/>
    </w:pPr>
  </w:style>
  <w:style w:type="paragraph" w:customStyle="1" w:styleId="12">
    <w:name w:val="WPSOffice手动目录 2"/>
    <w:autoRedefine/>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3">
    <w:name w:val="WPSOffice手动目录 1"/>
    <w:autoRedefine/>
    <w:qFormat/>
    <w:uiPriority w:val="0"/>
    <w:pPr>
      <w:spacing w:after="160" w:line="259" w:lineRule="auto"/>
    </w:pPr>
    <w:rPr>
      <w:rFonts w:ascii="Times New Roman" w:hAnsi="Times New Roman" w:eastAsia="黑体" w:cs="Times New Roman"/>
      <w:sz w:val="28"/>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668.86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cdc3d5a-4b6d-4097-9c25-894d1c25d7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605.86</c:v>
                </c:pt>
                <c:pt idx="1">
                  <c:v>63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1d7ee8-627b-45a8-a6fb-0db57c49a7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7983</Words>
  <Characters>8886</Characters>
  <Lines>43</Lines>
  <Paragraphs>12</Paragraphs>
  <TotalTime>3</TotalTime>
  <ScaleCrop>false</ScaleCrop>
  <LinksUpToDate>false</LinksUpToDate>
  <CharactersWithSpaces>9123</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2025-01-16T02:40:16Z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