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旗委编办班子2024年度民主生活会情况报告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中共奈曼旗纪委机关、中共奈曼旗委组织部：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旗纪委监委机关、旗委组织部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认真开好2024年度党和国家机关党员领导干部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民主生活会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在深入学习研讨，广泛征求意见建议，认真组织谈心谈话，对照查摆问题，撰写对照检查材料的基础上，2025年2月28日下午旗委编办班子召开了2024年度民主生活会，有关情况报告如下：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上年度民主生活会整改情况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在上年度民主生活会中，编办班子对检视出的7个方面9个问题逐项梳理，班子成员对存在问题通过主动认领、建立台账、完善制度、加强监管等方式，现已全部销号。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本年度民主生活会准备情况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CESI仿宋-GB2312" w:eastAsia="楷体_GB2312" w:cs="CESI仿宋-GB2312"/>
          <w:b/>
          <w:sz w:val="32"/>
          <w:szCs w:val="32"/>
          <w:lang w:val="en-US" w:eastAsia="zh-CN"/>
        </w:rPr>
        <w:t>（一）制定民主生活会方案。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由旗委编办办公室负责起草民主生活会方案，经旗委编办领导班子研究审核，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根据审核意见进一步修改完善后印发实施。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旗委编办班子和成员按照方案要求做好各项准备工作。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CESI仿宋-GB2312" w:eastAsia="楷体_GB2312" w:cs="CESI仿宋-GB2312"/>
          <w:b/>
          <w:sz w:val="32"/>
          <w:szCs w:val="32"/>
          <w:lang w:val="en-US" w:eastAsia="zh-CN"/>
        </w:rPr>
        <w:t>（二）精心组织学习研讨。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坚持把学习贯穿始终，采取集中学习和个人自学相结合的方式，重点学习5个方面重点内容：</w:t>
      </w:r>
      <w:r>
        <w:rPr>
          <w:rFonts w:hint="eastAsia" w:ascii="仿宋_GB2312" w:hAnsi="CESI仿宋-GB2312" w:eastAsia="仿宋_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认真学习习近平总书记在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中央经济工作会议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中央农村工作会议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的重要讲话；</w:t>
      </w:r>
      <w:r>
        <w:rPr>
          <w:rFonts w:hint="eastAsia" w:ascii="仿宋_GB2312" w:hAnsi="CESI仿宋-GB2312" w:eastAsia="仿宋_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学习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中国共产党第二十届中央纪律检查委员会第四次全体会议公报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CESI仿宋-GB2312" w:eastAsia="仿宋_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习近平论全面从严治党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习近平对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党纪教育成果持续转化为推动高质量发展强大动</w:t>
      </w:r>
      <w:r>
        <w:rPr>
          <w:rFonts w:hint="eastAsia" w:ascii="仿宋_GB2312" w:hAnsi="仿宋_GB2312" w:eastAsia="仿宋_GB2312" w:cs="仿宋_GB2312"/>
          <w:sz w:val="32"/>
          <w:szCs w:val="32"/>
        </w:rPr>
        <w:t>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重要指示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学习孙绍骋</w:t>
      </w:r>
      <w:r>
        <w:rPr>
          <w:rFonts w:hint="eastAsia" w:ascii="仿宋_GB2312" w:hAnsi="仿宋_GB2312" w:eastAsia="仿宋_GB2312" w:cs="仿宋_GB2312"/>
          <w:sz w:val="32"/>
          <w:szCs w:val="32"/>
        </w:rPr>
        <w:t>在自治区十四届人大三次会议闭幕会上的讲话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CESI仿宋-GB2312" w:eastAsia="楷体_GB2312" w:cs="CESI仿宋-GB2312"/>
          <w:b/>
          <w:sz w:val="32"/>
          <w:szCs w:val="32"/>
          <w:lang w:val="en-US" w:eastAsia="zh-CN"/>
        </w:rPr>
        <w:t>（三）广泛征求意见建议。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旗委编办领导班子成员围绕民主生活会主题，采取书面征求的方式，广泛征求机关单位的意见建议。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对全旗61个部门下发了民主生活会征求意见的函，收回61份，反馈无意见59份、提出意见2份。提出意见的具体内容为：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建议持续坚持全面从严治党，切实增强执行机构编制的严肃性有效性，确保编制条例落地落细落实。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建议持续坚持调查研究经常化，在制定政策、部署工作前，加强对基层的调研，切实了解各部门在机构编制方面的实际困难。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建议进一步加强理论学习的系统性和针对性，持续深化对“两个确立”决定性意义的把握。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机构编制政策专业性较强，部分单位和工作人员理解存在困难，建议通过多举办培训班等方式提高政策知晓度。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CESI仿宋-GB2312" w:eastAsia="楷体_GB2312" w:cs="CESI仿宋-GB2312"/>
          <w:b/>
          <w:sz w:val="32"/>
          <w:szCs w:val="32"/>
          <w:lang w:val="en-US" w:eastAsia="zh-CN"/>
        </w:rPr>
        <w:t>（四）开展谈心谈话。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旗委编办班子成员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要保证充足时间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认真开展谈心谈话。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主任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与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副主任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之间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、副主任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之间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，副主任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与分管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股室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负责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人，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一对一、面对面开展谈心谈话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开诚布公讲不足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推心置腹提建议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既谈收获体会又谈差距不足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既谈自身缺点又谈对方问题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努力把问题谈开、把思想谈通、把意见谈实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把改进方向谈明白</w:t>
      </w:r>
      <w:r>
        <w:rPr>
          <w:rFonts w:hint="eastAsia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CESI仿宋-GB2312" w:eastAsia="仿宋_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消除隔阂、加深了解、增进信任。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要谈深谈透、触及思想，通过谈心谈话进一步凝聚共识、增进信任，形成推动工作的整体合力。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eastAsia" w:ascii="楷体_GB2312" w:hAnsi="CESI仿宋-GB2312" w:eastAsia="楷体_GB2312" w:cs="CESI仿宋-GB2312"/>
          <w:b/>
          <w:sz w:val="32"/>
          <w:szCs w:val="32"/>
          <w:lang w:val="en-US" w:eastAsia="zh-CN"/>
        </w:rPr>
      </w:pPr>
      <w:r>
        <w:rPr>
          <w:rFonts w:hint="eastAsia" w:ascii="楷体_GB2312" w:hAnsi="CESI仿宋-GB2312" w:eastAsia="楷体_GB2312" w:cs="CESI仿宋-GB2312"/>
          <w:b/>
          <w:sz w:val="32"/>
          <w:szCs w:val="32"/>
          <w:lang w:val="en-US" w:eastAsia="zh-CN"/>
        </w:rPr>
        <w:t>（五）开展典型案例剖析。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召开民主生活会的要求，班子成员认真学习李鹏新违纪违法案件、开鲁县增收土地承包费系列案件和杜良案作为典型反面案例，要围绕案例，深刻剖析违纪的主客观因素，从主观上、思想上深刻查摆自身存在的差距不足，以案为鉴、以案促改促治，认真开展对照剖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CESI仿宋-GB2312" w:eastAsia="楷体_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  <w:t>（六）认真查摆突出问题</w:t>
      </w:r>
      <w:r>
        <w:rPr>
          <w:rFonts w:hint="default" w:ascii="楷体_GB2312" w:hAnsi="CESI仿宋-GB2312" w:eastAsia="楷体_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班子成员要紧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扣党纪学习教育目标任务，对照党的各项纪律主旨要义和规定要求，把自己、职责、工作摆进去，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围绕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尚未完成的整改问题、巡视巡察、审计发现问题及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谈心谈话指出的问题，深入检视查摆问题。要注重举一反三，结合分管工作认真查摆分析，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查找问题产生根源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，有针对性提出改进措施。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）撰写对照检查材料。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围绕具体问题，结合理论学习、谈心谈话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梳理问题的基础上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认真撰写旗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委编办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班子对照检查材料和个人发言提纲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，主要负责同志主持起草班子对照检查材料，班子成员自己动手撰写个人发言提纲，并报主要负责同志审阅把关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对照检查材料和个人发言提纲主要包括问题查摆、原因剖析、整改措施，问题查摆要准要全面，原因剖析要见筋见骨，整改措施要实要具体。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会议召开情况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会议由旗委编办主任常成同志主持，会上</w:t>
      </w:r>
      <w:r>
        <w:rPr>
          <w:rFonts w:hint="eastAsia" w:ascii="仿宋_GB2312" w:hAnsi="仿宋_GB2312" w:eastAsia="仿宋_GB2312" w:cs="仿宋_GB2312"/>
          <w:sz w:val="32"/>
          <w:szCs w:val="32"/>
        </w:rPr>
        <w:t>通报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上年度民主生活会问题整改落实情况和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本次民主生活会征求意见情况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常成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同志代表班子作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对照检查，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并带头做对照检查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，其他同志对其提出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批评意见，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随后</w:t>
      </w:r>
      <w:r>
        <w:rPr>
          <w:rFonts w:hint="eastAsia" w:ascii="仿宋_GB2312" w:hAnsi="仿宋_GB2312" w:eastAsia="仿宋_GB2312" w:cs="仿宋_GB2312"/>
          <w:sz w:val="32"/>
          <w:szCs w:val="32"/>
        </w:rPr>
        <w:t>班子成员依次作对照检查，每人发言后其他班子成员对其提出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批评意见，接受批评的同志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依次</w:t>
      </w:r>
      <w:r>
        <w:rPr>
          <w:rFonts w:hint="eastAsia" w:ascii="仿宋_GB2312" w:hAnsi="仿宋_GB2312" w:eastAsia="仿宋_GB2312" w:cs="仿宋_GB2312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表态发言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，最后常成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总结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发言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，提出整改要求。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会上班子成员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遵循“团结一批评一团结”的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聚焦主题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直面问题开展批评与自我批评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针对工作、学习、生活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谈不足、讲差距，内容具体、剖析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，真正达到红脸出汗的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下步工作计划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奈曼旗委编办</w:t>
      </w:r>
      <w:r>
        <w:rPr>
          <w:rFonts w:hint="eastAsia" w:ascii="仿宋_GB2312" w:hAnsi="仿宋_GB2312" w:eastAsia="仿宋_GB2312" w:cs="仿宋_GB2312"/>
          <w:sz w:val="32"/>
          <w:szCs w:val="40"/>
        </w:rPr>
        <w:t>将以此次民主生活会为契机，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认真抓好问题整改工作，</w:t>
      </w:r>
      <w:r>
        <w:rPr>
          <w:rFonts w:hint="eastAsia" w:ascii="仿宋_GB2312" w:hAnsi="仿宋_GB2312" w:eastAsia="仿宋_GB2312" w:cs="仿宋_GB2312"/>
          <w:sz w:val="32"/>
          <w:szCs w:val="40"/>
        </w:rPr>
        <w:t>全力抓好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本年度各项工作落实。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一是深入基层调研，服务发展大局。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牢固树立机构编制工作是关系群众安危冷暖、关系经济社会发展的大局思维，在资源调配、深化改革等工作中做到深入到一线调研，掌握第一手资料，为编委科学决策和精准调配资源提供有力保障。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二是创新工作思路，提升工作质效。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切实加强对新理论、新政策、新要求、新形势的分析研究，围绕落实“五大任务”和旗委政府确定的发展目标，开展深入学习研究，发挥参谋作用，从规范机构职能职责、优化编制资源配备、提高使用效益等方面拿出实招硬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三是发扬实干精神，切实履职担当。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继续推动党纪学习教育常态化长效化，树立务实担当的工作导向，认真落实好自治区党委、通辽市委编办各项工作要求，更加积极主动的谋划好2025年机构编制各项工作。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中共奈曼旗委员会机构编制委员会办公室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2025年3月3日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80" w:firstLineChars="1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中共奈曼旗委员会机构编制委员会办公室     2025年3月3日印发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3C6903"/>
    <w:multiLevelType w:val="singleLevel"/>
    <w:tmpl w:val="DE3C69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ZDcyMThkMmVhYTQ3MGUzMTA1YjU2Nzc2ODFkOGUifQ=="/>
  </w:docVars>
  <w:rsids>
    <w:rsidRoot w:val="05741B45"/>
    <w:rsid w:val="05000CF8"/>
    <w:rsid w:val="05741B45"/>
    <w:rsid w:val="0FC314FE"/>
    <w:rsid w:val="28BE5ECE"/>
    <w:rsid w:val="2C374187"/>
    <w:rsid w:val="39007721"/>
    <w:rsid w:val="396A6C01"/>
    <w:rsid w:val="428A5919"/>
    <w:rsid w:val="454F2CA8"/>
    <w:rsid w:val="48F26B50"/>
    <w:rsid w:val="4AF8658B"/>
    <w:rsid w:val="507B739A"/>
    <w:rsid w:val="531924F6"/>
    <w:rsid w:val="55B17DEA"/>
    <w:rsid w:val="599B388F"/>
    <w:rsid w:val="6A243ADB"/>
    <w:rsid w:val="746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511</Words>
  <Characters>533</Characters>
  <Lines>0</Lines>
  <Paragraphs>0</Paragraphs>
  <TotalTime>2</TotalTime>
  <ScaleCrop>false</ScaleCrop>
  <LinksUpToDate>false</LinksUpToDate>
  <CharactersWithSpaces>533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2020-12-15T01:20:00Z</dcterms:created>
  <dc:creator>miss隋</dc:creator>
  <cp:lastModifiedBy>admin1</cp:lastModifiedBy>
  <cp:lastPrinted>2023-02-06T07:04:00Z</cp:lastPrinted>
  <dcterms:modified xsi:type="dcterms:W3CDTF">2025-07-05T00:37:19Z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  <property fmtid="{D5CDD505-2E9C-101B-9397-08002B2CF9AE}" pid="3" name="ICV">
    <vt:lpwstr>FAE5B36DBA02434EBD32C31B3FB7C318</vt:lpwstr>
  </property>
  <property fmtid="{D5CDD505-2E9C-101B-9397-08002B2CF9AE}" pid="4" name="KSOTemplateDocerSaveRecord">
    <vt:lpwstr>eyJoZGlkIjoiZmZlZTg0M2U0Zjk2NDQ1NzBiMmY2YjBhYTQyNWQ3N2EiLCJ1c2VySWQiOiIyMzM4NTY3NzMifQ==</vt:lpwstr>
  </property>
</Properties>
</file>