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56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</w:rPr>
        <w:t>奈曼旗城市管理</w:t>
      </w:r>
      <w:r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  <w:lang w:val="en-US" w:eastAsia="zh-CN"/>
        </w:rPr>
        <w:t>关于对诺恩吉雅养老中心附近流动摊点</w:t>
      </w:r>
    </w:p>
    <w:p w14:paraId="60BE7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D3C3C"/>
          <w:kern w:val="0"/>
          <w:sz w:val="21"/>
          <w:szCs w:val="24"/>
          <w:lang w:val="en-US" w:eastAsia="zh-CN"/>
        </w:rPr>
        <w:t>施大厨红烧肉老盒饭的规范管理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2025年6月13日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诺恩吉雅养老中心附近流动摊点施大厨红烧肉老盒饭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对诺恩吉雅养老中心附近摆设摊点道经营的规范管理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  <w:bookmarkStart w:id="0" w:name="_GoBack"/>
            <w:bookmarkEnd w:id="0"/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6857AD8"/>
    <w:rsid w:val="385950D4"/>
    <w:rsid w:val="38611195"/>
    <w:rsid w:val="395D64E7"/>
    <w:rsid w:val="39E44E71"/>
    <w:rsid w:val="3B7E1AEA"/>
    <w:rsid w:val="3B98204C"/>
    <w:rsid w:val="3D271C45"/>
    <w:rsid w:val="3FCD7380"/>
    <w:rsid w:val="45156827"/>
    <w:rsid w:val="463E0BED"/>
    <w:rsid w:val="46F54B62"/>
    <w:rsid w:val="491B74AB"/>
    <w:rsid w:val="4C8B7F04"/>
    <w:rsid w:val="4DBC3CE3"/>
    <w:rsid w:val="4EE259CC"/>
    <w:rsid w:val="4F5B197F"/>
    <w:rsid w:val="537F5EDF"/>
    <w:rsid w:val="540208BE"/>
    <w:rsid w:val="5429072B"/>
    <w:rsid w:val="548841C2"/>
    <w:rsid w:val="55D07016"/>
    <w:rsid w:val="568B6949"/>
    <w:rsid w:val="596C1513"/>
    <w:rsid w:val="5A2B0ED3"/>
    <w:rsid w:val="5BC6530C"/>
    <w:rsid w:val="5C5679F9"/>
    <w:rsid w:val="5CAE15E3"/>
    <w:rsid w:val="5E2E7F6E"/>
    <w:rsid w:val="5F986B46"/>
    <w:rsid w:val="65782E6B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282</Characters>
  <Lines>8</Lines>
  <Paragraphs>9</Paragraphs>
  <TotalTime>26</TotalTime>
  <ScaleCrop>false</ScaleCrop>
  <LinksUpToDate>false</LinksUpToDate>
  <CharactersWithSpaces>282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2025-06-13T03:12:55Z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8F0C386EF8C540A68112DA5AAE88B82E_13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