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FB9A">
      <w:pPr>
        <w:widowControl/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77D35C0F">
      <w:pPr>
        <w:widowControl/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2F947B68">
      <w:pPr>
        <w:widowControl/>
        <w:jc w:val="center"/>
        <w:rPr>
          <w:rFonts w:ascii="宋体" w:hAnsi="宋体" w:eastAsia="宋体"/>
          <w:b/>
          <w:bCs/>
          <w:sz w:val="36"/>
          <w:szCs w:val="36"/>
        </w:rPr>
      </w:pPr>
    </w:p>
    <w:p w14:paraId="70851EBB">
      <w:pPr>
        <w:widowControl/>
        <w:jc w:val="center"/>
        <w:rPr>
          <w:rFonts w:ascii="宋体" w:hAnsi="宋体" w:eastAsia="宋体"/>
          <w:b/>
          <w:bCs/>
          <w:sz w:val="60"/>
          <w:szCs w:val="60"/>
        </w:rPr>
      </w:pPr>
      <w:r>
        <w:rPr>
          <w:rFonts w:hint="eastAsia" w:ascii="宋体" w:hAnsi="宋体" w:eastAsia="宋体"/>
          <w:b/>
          <w:bCs/>
          <w:sz w:val="60"/>
          <w:szCs w:val="60"/>
        </w:rPr>
        <w:t>农村养老服务设施填报手册</w:t>
      </w:r>
    </w:p>
    <w:p w14:paraId="0C9C8E7A">
      <w:pPr>
        <w:widowControl/>
        <w:jc w:val="center"/>
        <w:rPr>
          <w:rFonts w:ascii="宋体" w:hAnsi="宋体" w:eastAsia="宋体"/>
          <w:b/>
          <w:bCs/>
          <w:sz w:val="52"/>
          <w:szCs w:val="52"/>
        </w:rPr>
      </w:pPr>
    </w:p>
    <w:p w14:paraId="77259F33">
      <w:pPr>
        <w:widowControl/>
        <w:jc w:val="center"/>
        <w:rPr>
          <w:rFonts w:ascii="宋体" w:hAnsi="宋体" w:eastAsia="宋体"/>
          <w:b/>
          <w:bCs/>
          <w:sz w:val="52"/>
          <w:szCs w:val="52"/>
        </w:rPr>
      </w:pPr>
    </w:p>
    <w:p w14:paraId="7FBB2C32">
      <w:pPr>
        <w:widowControl/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操作手册（民政端）</w:t>
      </w:r>
    </w:p>
    <w:p w14:paraId="5EF080E4">
      <w:pPr>
        <w:widowControl/>
        <w:jc w:val="center"/>
        <w:outlineLvl w:val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（</w:t>
      </w:r>
      <w:r>
        <w:rPr>
          <w:rFonts w:ascii="宋体" w:hAnsi="宋体" w:eastAsia="宋体" w:cs="Times New Roman"/>
          <w:b/>
          <w:bCs/>
          <w:sz w:val="28"/>
          <w:szCs w:val="28"/>
        </w:rPr>
        <w:t>v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1.0.1）</w:t>
      </w:r>
    </w:p>
    <w:p w14:paraId="58E0324B">
      <w:pPr>
        <w:widowControl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2AA77433">
      <w:pPr>
        <w:widowControl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DBBA501">
      <w:pPr>
        <w:widowControl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EAF9FBC">
      <w:pPr>
        <w:widowControl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D459755">
      <w:pPr>
        <w:widowControl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30E6EB8">
      <w:pPr>
        <w:widowControl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658CA6A">
      <w:pPr>
        <w:widowControl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263ABDAB">
      <w:pPr>
        <w:widowControl/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内蒙古自治区民政厅养老服务处</w:t>
      </w:r>
    </w:p>
    <w:p w14:paraId="62DC71BB">
      <w:pPr>
        <w:widowControl/>
        <w:spacing w:line="360" w:lineRule="auto"/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11</w:t>
      </w:r>
      <w:r>
        <w:rPr>
          <w:rFonts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29</w:t>
      </w:r>
    </w:p>
    <w:p w14:paraId="5F7309A9">
      <w:pPr>
        <w:pStyle w:val="2"/>
        <w:numPr>
          <w:ilvl w:val="0"/>
          <w:numId w:val="1"/>
        </w:numPr>
        <w:spacing w:before="120" w:after="120"/>
        <w:ind w:left="420" w:hanging="42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登录方式</w:t>
      </w:r>
    </w:p>
    <w:p w14:paraId="7BB83CD4">
      <w:pPr>
        <w:widowControl/>
        <w:numPr>
          <w:numId w:val="0"/>
        </w:numPr>
        <w:ind w:left="560" w:leftChars="133" w:hanging="281" w:hangingChars="1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1丶推荐使用</w:t>
      </w:r>
      <w:r>
        <w:rPr>
          <w:rFonts w:hint="eastAsia" w:ascii="宋体" w:hAnsi="宋体" w:eastAsia="宋体"/>
          <w:b/>
          <w:bCs/>
          <w:sz w:val="28"/>
          <w:szCs w:val="28"/>
        </w:rPr>
        <w:t>谷歌浏览器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</w:rPr>
        <w:t>输入网址登录：</w:t>
      </w:r>
    </w:p>
    <w:p w14:paraId="55AE2C85">
      <w:pPr>
        <w:widowControl/>
        <w:numPr>
          <w:numId w:val="0"/>
        </w:numPr>
        <w:ind w:left="559" w:leftChars="266" w:firstLine="281" w:firstLineChars="100"/>
        <w:jc w:val="left"/>
        <w:rPr>
          <w:rFonts w:hint="eastAsia" w:ascii="宋体" w:hAnsi="宋体" w:eastAsia="宋体"/>
          <w:b/>
          <w:bCs/>
          <w:sz w:val="28"/>
          <w:szCs w:val="28"/>
        </w:rPr>
      </w:pPr>
    </w:p>
    <w:p w14:paraId="1DFC24E1">
      <w:pPr>
        <w:widowControl/>
        <w:numPr>
          <w:numId w:val="0"/>
        </w:numPr>
        <w:ind w:left="559" w:leftChars="266" w:firstLine="281" w:firstLineChars="1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系统登录网址：</w:t>
      </w:r>
      <w:r>
        <w:rPr>
          <w:rFonts w:hint="eastAsia" w:ascii="宋体" w:hAnsi="宋体" w:eastAsia="宋体"/>
          <w:b/>
          <w:bCs/>
          <w:sz w:val="28"/>
          <w:szCs w:val="28"/>
        </w:rPr>
        <w:t>http://116.114.28.170:8005/dist/#/login</w:t>
      </w:r>
    </w:p>
    <w:p w14:paraId="36EB00D9">
      <w:pPr>
        <w:widowControl/>
        <w:ind w:left="562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drawing>
          <wp:inline distT="0" distB="0" distL="0" distR="0">
            <wp:extent cx="5264785" cy="2764155"/>
            <wp:effectExtent l="19050" t="0" r="0" b="0"/>
            <wp:docPr id="8" name="图片 2" descr="1688453895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884538958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8967"/>
    <w:p w14:paraId="6B0ACC3B">
      <w:pPr>
        <w:pStyle w:val="2"/>
        <w:numPr>
          <w:ilvl w:val="0"/>
          <w:numId w:val="1"/>
        </w:numPr>
        <w:spacing w:before="120" w:after="120"/>
        <w:ind w:left="420" w:hanging="42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项目信息</w:t>
      </w:r>
    </w:p>
    <w:p w14:paraId="26E1F1DE">
      <w:pPr>
        <w:pStyle w:val="2"/>
        <w:numPr>
          <w:ilvl w:val="0"/>
          <w:numId w:val="0"/>
        </w:numPr>
        <w:spacing w:before="120" w:after="120"/>
        <w:ind w:leftChars="0"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民政所属的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农村养老服务设施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注册时要先在后台点击“新增”添加该服务设施的的基本信息方可注册（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不先添加注册不了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），后期可通过点击“修改”修改该机构基础信息。</w:t>
      </w:r>
    </w:p>
    <w:p w14:paraId="283CBC43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drawing>
          <wp:inline distT="0" distB="0" distL="114300" distR="114300">
            <wp:extent cx="5266055" cy="2524125"/>
            <wp:effectExtent l="0" t="0" r="10795" b="9525"/>
            <wp:docPr id="3" name="图片 3" descr="168845445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84544578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A5A0">
      <w:pPr>
        <w:pStyle w:val="2"/>
        <w:numPr>
          <w:ilvl w:val="0"/>
          <w:numId w:val="1"/>
        </w:numPr>
        <w:spacing w:before="120" w:after="120"/>
        <w:ind w:left="420" w:hanging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填报人信息</w:t>
      </w:r>
    </w:p>
    <w:p w14:paraId="45B6E100">
      <w:pPr>
        <w:pStyle w:val="2"/>
        <w:numPr>
          <w:ilvl w:val="0"/>
          <w:numId w:val="0"/>
        </w:numPr>
        <w:spacing w:before="120" w:after="120"/>
        <w:ind w:leftChars="0"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农村养老服务设施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注册后，所属民政局点击“修改”审核账号，注册账号时图片中带</w:t>
      </w:r>
      <w:r>
        <w:rPr>
          <w:rFonts w:hint="eastAsia" w:ascii="宋体" w:hAnsi="宋体" w:eastAsia="宋体"/>
          <w:b w:val="0"/>
          <w:bCs w:val="0"/>
          <w:color w:val="FF000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号为必填项，主要涉及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农村养老服务设施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项目主键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、联系人、手机号及相关证明。关于账号审核内容，在此请各民政局认真审核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农村养老服务设施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注册信息，如有错误点击删除后告知设施负责人重新注册。</w:t>
      </w:r>
    </w:p>
    <w:p w14:paraId="0AFC0647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drawing>
          <wp:inline distT="0" distB="0" distL="114300" distR="114300">
            <wp:extent cx="5264150" cy="2553970"/>
            <wp:effectExtent l="0" t="0" r="12700" b="17780"/>
            <wp:docPr id="4" name="图片 4" descr="168845515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84551577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0F80F">
      <w:pPr>
        <w:pStyle w:val="2"/>
        <w:numPr>
          <w:ilvl w:val="0"/>
          <w:numId w:val="1"/>
        </w:numPr>
        <w:spacing w:before="120" w:after="120"/>
        <w:ind w:left="420" w:hanging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填报项目调度</w:t>
      </w:r>
    </w:p>
    <w:p w14:paraId="13DDDAEA">
      <w:pPr>
        <w:pStyle w:val="2"/>
        <w:numPr>
          <w:ilvl w:val="0"/>
          <w:numId w:val="0"/>
        </w:numPr>
        <w:spacing w:before="120" w:after="120"/>
        <w:ind w:leftChars="0"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各盟市民政局所属辖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区内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农村养老服务设施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在小程序填报完成上报数据后，数据会实时更新到所属民政账号中，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点击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“修改”核对相关数据后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点审核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通过后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向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民政厅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上报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449CC189">
      <w:pPr>
        <w:jc w:val="left"/>
      </w:pPr>
      <w:r>
        <w:drawing>
          <wp:inline distT="0" distB="0" distL="114300" distR="114300">
            <wp:extent cx="5266690" cy="2546985"/>
            <wp:effectExtent l="0" t="0" r="10160" b="5715"/>
            <wp:docPr id="5" name="图片 5" descr="168845546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84554693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DC6B">
      <w:pPr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五、农村养老建设项目调度汇总表</w:t>
      </w:r>
    </w:p>
    <w:p w14:paraId="5558BE78">
      <w:pPr>
        <w:numPr>
          <w:ilvl w:val="0"/>
          <w:numId w:val="0"/>
        </w:numPr>
        <w:ind w:leftChars="0" w:firstLine="840" w:firstLineChars="3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报表可通过输入盟市、类型（</w:t>
      </w:r>
      <w:r>
        <w:rPr>
          <w:rFonts w:hint="eastAsia" w:ascii="宋体" w:hAnsi="宋体" w:eastAsia="宋体"/>
          <w:sz w:val="28"/>
          <w:szCs w:val="28"/>
        </w:rPr>
        <w:t>幸福院拓展提升项目、乡镇区域养老服务中心、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乡镇区域服务示范中心</w:t>
      </w:r>
      <w:r>
        <w:rPr>
          <w:rFonts w:hint="eastAsia" w:ascii="宋体" w:hAnsi="宋体" w:eastAsia="宋体"/>
          <w:sz w:val="28"/>
          <w:szCs w:val="28"/>
        </w:rPr>
        <w:t>、村级养老服务站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）填报时间自动生成或导出表格。</w:t>
      </w:r>
    </w:p>
    <w:p w14:paraId="6EA28C6C">
      <w:pPr>
        <w:numPr>
          <w:ilvl w:val="0"/>
          <w:numId w:val="0"/>
        </w:numPr>
        <w:ind w:leftChars="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245" cy="2560320"/>
            <wp:effectExtent l="0" t="0" r="14605" b="11430"/>
            <wp:docPr id="6" name="图片 6" descr="168845673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84567330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A551">
      <w:pPr>
        <w:numPr>
          <w:ilvl w:val="0"/>
          <w:numId w:val="0"/>
        </w:numPr>
        <w:ind w:leftChars="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</w:p>
    <w:p w14:paraId="0CFCC460">
      <w:pPr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六、填报须知</w:t>
      </w:r>
    </w:p>
    <w:p w14:paraId="1F858E63">
      <w:pPr>
        <w:numPr>
          <w:ilvl w:val="0"/>
          <w:numId w:val="0"/>
        </w:numPr>
        <w:ind w:leftChars="0" w:firstLine="562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各盟市</w:t>
      </w:r>
      <w:r>
        <w:rPr>
          <w:rFonts w:hint="eastAsia" w:ascii="宋体" w:hAnsi="宋体" w:eastAsia="宋体"/>
          <w:sz w:val="28"/>
          <w:szCs w:val="28"/>
        </w:rPr>
        <w:t>农村养老服务设施</w:t>
      </w:r>
      <w:r>
        <w:rPr>
          <w:rFonts w:hint="eastAsia" w:ascii="宋体" w:hAnsi="宋体" w:eastAsia="宋体"/>
          <w:sz w:val="28"/>
          <w:szCs w:val="28"/>
          <w:lang w:eastAsia="zh-CN"/>
        </w:rPr>
        <w:t>填报以一周为一个周期，每周一到周四晚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24：00点为一个时间节点，周五就是下周的进度情况，请大家严格把控好填报质量及时间节点，遇业务问题请联系雅茹，民政涉及到账号新增及修改密码联系伊德日滚（系统已默认各级民政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登录密码全部为Bgc@.nizuishuai110+）。</w:t>
      </w:r>
    </w:p>
    <w:p w14:paraId="32C30FBE">
      <w:pPr>
        <w:numPr>
          <w:ilvl w:val="0"/>
          <w:numId w:val="0"/>
        </w:numPr>
        <w:ind w:leftChars="0" w:firstLine="562"/>
        <w:rPr>
          <w:rFonts w:hint="default" w:ascii="宋体" w:hAnsi="宋体" w:eastAsia="宋体"/>
          <w:sz w:val="28"/>
          <w:szCs w:val="28"/>
          <w:lang w:val="en-US" w:eastAsia="zh-CN"/>
        </w:rPr>
      </w:pPr>
    </w:p>
    <w:p w14:paraId="0FBEC04D">
      <w:pPr>
        <w:numPr>
          <w:ilvl w:val="0"/>
          <w:numId w:val="0"/>
        </w:numPr>
        <w:ind w:leftChars="0" w:firstLine="562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业务咨询：雅茹 联系电话：0471-6610147</w:t>
      </w:r>
    </w:p>
    <w:p w14:paraId="76E5321A">
      <w:pPr>
        <w:numPr>
          <w:ilvl w:val="0"/>
          <w:numId w:val="0"/>
        </w:numPr>
        <w:ind w:leftChars="0" w:firstLine="562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技术服务：伊德日滚 联系电话：0471-6610147</w:t>
      </w:r>
    </w:p>
    <w:p w14:paraId="2C4E1A3B">
      <w:pPr>
        <w:numPr>
          <w:ilvl w:val="0"/>
          <w:numId w:val="0"/>
        </w:numPr>
        <w:ind w:leftChars="0" w:firstLine="562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</w:p>
    <w:p w14:paraId="0D5038E8">
      <w:pPr>
        <w:numPr>
          <w:ilvl w:val="0"/>
          <w:numId w:val="0"/>
        </w:numPr>
        <w:ind w:leftChars="0" w:firstLine="562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</w:t>
      </w:r>
    </w:p>
    <w:p w14:paraId="0AFFD894">
      <w:pPr>
        <w:numPr>
          <w:ilvl w:val="0"/>
          <w:numId w:val="0"/>
        </w:numPr>
        <w:ind w:leftChars="0" w:firstLine="562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17B3E091">
      <w:pPr>
        <w:numPr>
          <w:ilvl w:val="0"/>
          <w:numId w:val="0"/>
        </w:numPr>
        <w:ind w:left="5399" w:leftChars="399" w:hanging="4561" w:hangingChars="1629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内蒙古自治区民政厅养老服务处                                  2024年11月29日</w:t>
      </w:r>
    </w:p>
    <w:p w14:paraId="4CA2611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B27BF"/>
    <w:multiLevelType w:val="singleLevel"/>
    <w:tmpl w:val="58DB27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zlhNjdiYWE2NTlmYTY4MThhMDM0YTI0NjNlN2YifQ=="/>
  </w:docVars>
  <w:rsids>
    <w:rsidRoot w:val="00A97CE1"/>
    <w:rsid w:val="00064621"/>
    <w:rsid w:val="00387EA9"/>
    <w:rsid w:val="00A27ED1"/>
    <w:rsid w:val="00A97CE1"/>
    <w:rsid w:val="00CD17C3"/>
    <w:rsid w:val="17445F83"/>
    <w:rsid w:val="1B2D0778"/>
    <w:rsid w:val="25B372FA"/>
    <w:rsid w:val="3B00511B"/>
    <w:rsid w:val="3F3501A6"/>
    <w:rsid w:val="4AC23FFB"/>
    <w:rsid w:val="5415042E"/>
    <w:rsid w:val="5AC42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文档结构图 Char"/>
    <w:basedOn w:val="8"/>
    <w:link w:val="3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585</Words>
  <Characters>667</Characters>
  <Lines>1</Lines>
  <Paragraphs>1</Paragraphs>
  <TotalTime>24</TotalTime>
  <ScaleCrop>false</ScaleCrop>
  <LinksUpToDate>false</LinksUpToDate>
  <CharactersWithSpaces>739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2023-07-04T06:50:00Z</dcterms:created>
  <dc:creator>gougougou</dc:creator>
  <cp:lastModifiedBy>WPS_1628061417</cp:lastModifiedBy>
  <dcterms:modified xsi:type="dcterms:W3CDTF">2024-11-29T02:37:30Z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7DF249C8AE8C47C19F09CF9351DA72EC_13</vt:lpwstr>
  </property>
</Properties>
</file>