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FAE5D4">
      <w:pPr>
        <w:pStyle w:val="4"/>
        <w:keepNext w:val="0"/>
        <w:keepLines w:val="0"/>
        <w:pageBreakBefore w:val="0"/>
        <w:kinsoku/>
        <w:wordWrap/>
        <w:overflowPunct/>
        <w:topLinePunct w:val="0"/>
        <w:autoSpaceDE/>
        <w:autoSpaceDN/>
        <w:bidi w:val="0"/>
        <w:adjustRightInd/>
        <w:snapToGrid/>
        <w:spacing w:line="240" w:lineRule="auto"/>
        <w:ind w:left="0"/>
        <w:jc w:val="center"/>
        <w:textAlignment w:val="auto"/>
        <w:rPr>
          <w:rFonts w:ascii="黑体" w:hAnsi="黑体" w:eastAsia="黑体"/>
          <w:sz w:val="96"/>
        </w:rPr>
      </w:pPr>
      <w:r>
        <w:rPr>
          <w:rFonts w:hint="eastAsia" w:ascii="黑体" w:hAnsi="黑体" w:eastAsia="黑体"/>
          <w:sz w:val="96"/>
        </w:rPr>
        <w:t>卫生健康信息</w:t>
      </w:r>
    </w:p>
    <w:p w14:paraId="2F26941C">
      <w:pPr>
        <w:pStyle w:val="4"/>
        <w:keepNext w:val="0"/>
        <w:keepLines w:val="0"/>
        <w:pageBreakBefore w:val="0"/>
        <w:kinsoku/>
        <w:wordWrap/>
        <w:overflowPunct/>
        <w:topLinePunct w:val="0"/>
        <w:autoSpaceDE/>
        <w:autoSpaceDN/>
        <w:bidi w:val="0"/>
        <w:adjustRightInd/>
        <w:snapToGrid/>
        <w:spacing w:line="240" w:lineRule="auto"/>
        <w:ind w:left="0"/>
        <w:jc w:val="center"/>
        <w:textAlignment w:val="auto"/>
        <w:rPr>
          <w:rFonts w:ascii="仿宋_GB2312" w:hAnsi="仿宋_GB2312" w:eastAsia="仿宋_GB2312" w:cs="仿宋_GB2312"/>
          <w:sz w:val="32"/>
          <w:szCs w:val="32"/>
        </w:rPr>
      </w:pPr>
    </w:p>
    <w:p w14:paraId="48B1433B">
      <w:pPr>
        <w:pStyle w:val="4"/>
        <w:keepNext w:val="0"/>
        <w:keepLines w:val="0"/>
        <w:pageBreakBefore w:val="0"/>
        <w:kinsoku/>
        <w:wordWrap/>
        <w:overflowPunct/>
        <w:topLinePunct w:val="0"/>
        <w:autoSpaceDE/>
        <w:autoSpaceDN/>
        <w:bidi w:val="0"/>
        <w:adjustRightInd/>
        <w:snapToGrid/>
        <w:spacing w:line="240" w:lineRule="auto"/>
        <w:ind w:left="0"/>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（第</w:t>
      </w:r>
      <w:r>
        <w:rPr>
          <w:rFonts w:hint="eastAsia" w:ascii="仿宋_GB2312" w:hAnsi="仿宋_GB2312" w:eastAsia="仿宋_GB2312" w:cs="仿宋_GB2312"/>
          <w:sz w:val="32"/>
          <w:szCs w:val="32"/>
          <w:lang w:val="en-US" w:eastAsia="zh-CN"/>
        </w:rPr>
        <w:t>124</w:t>
      </w:r>
      <w:r>
        <w:rPr>
          <w:rFonts w:hint="eastAsia" w:ascii="仿宋_GB2312" w:hAnsi="仿宋_GB2312" w:eastAsia="仿宋_GB2312" w:cs="仿宋_GB2312"/>
          <w:sz w:val="32"/>
          <w:szCs w:val="32"/>
        </w:rPr>
        <w:t>期）</w:t>
      </w:r>
    </w:p>
    <w:p w14:paraId="02EEC81D">
      <w:pPr>
        <w:pStyle w:val="4"/>
        <w:keepNext w:val="0"/>
        <w:keepLines w:val="0"/>
        <w:pageBreakBefore w:val="0"/>
        <w:kinsoku/>
        <w:wordWrap/>
        <w:overflowPunct/>
        <w:topLinePunct w:val="0"/>
        <w:autoSpaceDE/>
        <w:autoSpaceDN/>
        <w:bidi w:val="0"/>
        <w:adjustRightInd/>
        <w:snapToGrid/>
        <w:spacing w:line="240" w:lineRule="auto"/>
        <w:ind w:left="0"/>
        <w:jc w:val="center"/>
        <w:textAlignment w:val="auto"/>
        <w:rPr>
          <w:rFonts w:ascii="仿宋_GB2312" w:hAnsi="仿宋_GB2312" w:eastAsia="仿宋_GB2312" w:cs="仿宋_GB2312"/>
          <w:sz w:val="32"/>
          <w:szCs w:val="32"/>
        </w:rPr>
      </w:pPr>
    </w:p>
    <w:p w14:paraId="73F7059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44"/>
          <w:szCs w:val="44"/>
          <w:lang w:eastAsia="zh-CN"/>
        </w:rPr>
      </w:pPr>
      <w:r>
        <w:rPr>
          <w:rFonts w:hint="eastAsia" w:ascii="仿宋_GB2312" w:eastAsia="仿宋_GB2312"/>
          <w:sz w:val="32"/>
          <w:u w:val="single"/>
        </w:rPr>
        <w:t xml:space="preserve">奈曼旗卫健系统党委 </w:t>
      </w:r>
      <w:r>
        <w:rPr>
          <w:rFonts w:hint="eastAsia" w:ascii="仿宋_GB2312" w:eastAsia="仿宋_GB2312"/>
          <w:sz w:val="32"/>
          <w:u w:val="single"/>
          <w:lang w:val="en-US" w:eastAsia="zh-CN"/>
        </w:rPr>
        <w:t xml:space="preserve">  </w:t>
      </w:r>
      <w:r>
        <w:rPr>
          <w:rFonts w:hint="eastAsia" w:ascii="仿宋_GB2312" w:eastAsia="仿宋_GB2312"/>
          <w:sz w:val="32"/>
          <w:u w:val="single"/>
        </w:rPr>
        <w:t>奈曼旗卫健委</w:t>
      </w:r>
      <w:r>
        <w:rPr>
          <w:rFonts w:hint="eastAsia" w:ascii="仿宋_GB2312" w:eastAsia="仿宋_GB2312"/>
          <w:sz w:val="32"/>
          <w:u w:val="single"/>
          <w:lang w:val="en-US" w:eastAsia="zh-CN"/>
        </w:rPr>
        <w:t xml:space="preserve">   </w:t>
      </w:r>
      <w:r>
        <w:rPr>
          <w:rFonts w:hint="eastAsia" w:ascii="仿宋_GB2312" w:eastAsia="仿宋_GB2312"/>
          <w:sz w:val="32"/>
          <w:u w:val="single"/>
        </w:rPr>
        <w:t>20</w:t>
      </w:r>
      <w:r>
        <w:rPr>
          <w:rFonts w:hint="eastAsia" w:ascii="仿宋_GB2312" w:eastAsia="仿宋_GB2312"/>
          <w:sz w:val="32"/>
          <w:u w:val="single"/>
          <w:lang w:val="en-US" w:eastAsia="zh-CN"/>
        </w:rPr>
        <w:t>24</w:t>
      </w:r>
      <w:r>
        <w:rPr>
          <w:rFonts w:hint="eastAsia" w:ascii="仿宋_GB2312" w:eastAsia="仿宋_GB2312"/>
          <w:sz w:val="32"/>
          <w:u w:val="single"/>
        </w:rPr>
        <w:t>年</w:t>
      </w:r>
      <w:r>
        <w:rPr>
          <w:rFonts w:hint="eastAsia" w:ascii="仿宋_GB2312" w:eastAsia="仿宋_GB2312"/>
          <w:sz w:val="32"/>
          <w:u w:val="single"/>
          <w:lang w:val="en-US" w:eastAsia="zh-CN"/>
        </w:rPr>
        <w:t>11月12</w:t>
      </w:r>
      <w:r>
        <w:rPr>
          <w:rFonts w:hint="eastAsia" w:ascii="仿宋_GB2312" w:eastAsia="仿宋_GB2312"/>
          <w:sz w:val="32"/>
          <w:u w:val="single"/>
        </w:rPr>
        <w:t>日</w:t>
      </w:r>
    </w:p>
    <w:p w14:paraId="1487F4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奈曼旗卫健系统积极组织人员参加全国医疗机构消防安全管理培训</w:t>
      </w:r>
    </w:p>
    <w:p w14:paraId="40F23F78">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为进一步落实医疗机构消防安全主体责任，提升消防安全管理能力，预防火灾和减少火灾危害，近日，国家消防救援局、国家卫健委、国家中医药局联合举办医疗机构消防安全培训班活动。</w:t>
      </w:r>
      <w:r>
        <w:rPr>
          <w:rFonts w:hint="eastAsia" w:ascii="仿宋_GB2312" w:hAnsi="仿宋_GB2312" w:eastAsia="仿宋_GB2312" w:cs="仿宋_GB2312"/>
          <w:sz w:val="32"/>
          <w:szCs w:val="32"/>
          <w:lang w:eastAsia="zh-CN"/>
        </w:rPr>
        <w:t>奈曼旗卫健委</w:t>
      </w:r>
      <w:r>
        <w:rPr>
          <w:rFonts w:hint="eastAsia" w:ascii="仿宋_GB2312" w:hAnsi="仿宋_GB2312" w:eastAsia="仿宋_GB2312" w:cs="仿宋_GB2312"/>
          <w:sz w:val="32"/>
          <w:szCs w:val="32"/>
        </w:rPr>
        <w:t>积极统筹，组织</w:t>
      </w:r>
      <w:r>
        <w:rPr>
          <w:rFonts w:hint="eastAsia" w:ascii="仿宋_GB2312" w:hAnsi="仿宋_GB2312" w:eastAsia="仿宋_GB2312" w:cs="仿宋_GB2312"/>
          <w:sz w:val="32"/>
          <w:szCs w:val="32"/>
          <w:lang w:eastAsia="zh-CN"/>
        </w:rPr>
        <w:t>卫健委相关股室、各医疗机构</w:t>
      </w:r>
      <w:r>
        <w:rPr>
          <w:rFonts w:hint="eastAsia" w:ascii="仿宋_GB2312" w:hAnsi="仿宋_GB2312" w:eastAsia="仿宋_GB2312" w:cs="仿宋_GB2312"/>
          <w:sz w:val="32"/>
          <w:szCs w:val="32"/>
        </w:rPr>
        <w:t>消防安全责任人、管理人等</w:t>
      </w:r>
      <w:r>
        <w:rPr>
          <w:rFonts w:hint="eastAsia" w:ascii="仿宋_GB2312" w:hAnsi="仿宋_GB2312" w:eastAsia="仿宋_GB2312" w:cs="仿宋_GB2312"/>
          <w:sz w:val="32"/>
          <w:szCs w:val="32"/>
          <w:lang w:eastAsia="zh-CN"/>
        </w:rPr>
        <w:t>共</w:t>
      </w: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rPr>
        <w:t>人参加此次全国培训活动。</w:t>
      </w:r>
    </w:p>
    <w:p w14:paraId="3FCC25F0">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4785" cy="3103245"/>
            <wp:effectExtent l="0" t="0" r="0" b="0"/>
            <wp:docPr id="1" name="图片 1" descr="38ad9acc184f7deaf927aace036c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8ad9acc184f7deaf927aace036c2a0"/>
                    <pic:cNvPicPr>
                      <a:picLocks noChangeAspect="1"/>
                    </pic:cNvPicPr>
                  </pic:nvPicPr>
                  <pic:blipFill>
                    <a:blip r:embed="rId4"/>
                    <a:srcRect t="21443"/>
                    <a:stretch>
                      <a:fillRect/>
                    </a:stretch>
                  </pic:blipFill>
                  <pic:spPr>
                    <a:xfrm>
                      <a:off x="0" y="0"/>
                      <a:ext cx="5264785" cy="3103245"/>
                    </a:xfrm>
                    <a:prstGeom prst="rect">
                      <a:avLst/>
                    </a:prstGeom>
                  </pic:spPr>
                </pic:pic>
              </a:graphicData>
            </a:graphic>
          </wp:inline>
        </w:drawing>
      </w:r>
    </w:p>
    <w:p w14:paraId="4B887936">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4785" cy="2886710"/>
            <wp:effectExtent l="0" t="0" r="0" b="0"/>
            <wp:docPr id="2" name="图片 2" descr="902300d8a3429f316e57b22bbe126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02300d8a3429f316e57b22bbe1268d"/>
                    <pic:cNvPicPr>
                      <a:picLocks noChangeAspect="1"/>
                    </pic:cNvPicPr>
                  </pic:nvPicPr>
                  <pic:blipFill>
                    <a:blip r:embed="rId5"/>
                    <a:srcRect t="21443" b="5481"/>
                    <a:stretch>
                      <a:fillRect/>
                    </a:stretch>
                  </pic:blipFill>
                  <pic:spPr>
                    <a:xfrm>
                      <a:off x="0" y="0"/>
                      <a:ext cx="5264785" cy="2886710"/>
                    </a:xfrm>
                    <a:prstGeom prst="rect">
                      <a:avLst/>
                    </a:prstGeom>
                  </pic:spPr>
                </pic:pic>
              </a:graphicData>
            </a:graphic>
          </wp:inline>
        </w:drawing>
      </w:r>
    </w:p>
    <w:p w14:paraId="63711224">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4785" cy="2623820"/>
            <wp:effectExtent l="0" t="0" r="0" b="0"/>
            <wp:docPr id="3" name="图片 3" descr="128f0e2c85b2061c4b141b74e324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8f0e2c85b2061c4b141b74e3248c7"/>
                    <pic:cNvPicPr>
                      <a:picLocks noChangeAspect="1"/>
                    </pic:cNvPicPr>
                  </pic:nvPicPr>
                  <pic:blipFill>
                    <a:blip r:embed="rId6"/>
                    <a:srcRect t="16621" b="16959"/>
                    <a:stretch>
                      <a:fillRect/>
                    </a:stretch>
                  </pic:blipFill>
                  <pic:spPr>
                    <a:xfrm>
                      <a:off x="0" y="0"/>
                      <a:ext cx="5264785" cy="2623820"/>
                    </a:xfrm>
                    <a:prstGeom prst="rect">
                      <a:avLst/>
                    </a:prstGeom>
                  </pic:spPr>
                </pic:pic>
              </a:graphicData>
            </a:graphic>
          </wp:inline>
        </w:drawing>
      </w:r>
    </w:p>
    <w:p w14:paraId="73244CA6">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此次培训，是今年消防宣传月重要活动之一。</w:t>
      </w:r>
      <w:r>
        <w:rPr>
          <w:rFonts w:hint="eastAsia" w:ascii="仿宋_GB2312" w:hAnsi="仿宋_GB2312" w:eastAsia="仿宋_GB2312" w:cs="仿宋_GB2312"/>
          <w:sz w:val="32"/>
          <w:szCs w:val="32"/>
          <w:lang w:eastAsia="zh-CN"/>
        </w:rPr>
        <w:t>奈曼旗卫健委积极响应，组织参加培训会后</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要求</w:t>
      </w:r>
      <w:r>
        <w:rPr>
          <w:rFonts w:hint="eastAsia" w:ascii="仿宋_GB2312" w:hAnsi="仿宋_GB2312" w:eastAsia="仿宋_GB2312" w:cs="仿宋_GB2312"/>
          <w:sz w:val="32"/>
          <w:szCs w:val="32"/>
        </w:rPr>
        <w:t>各医疗机构消防安全责任人、管理人</w:t>
      </w:r>
      <w:r>
        <w:rPr>
          <w:rFonts w:hint="eastAsia" w:ascii="仿宋_GB2312" w:hAnsi="仿宋_GB2312" w:eastAsia="仿宋_GB2312" w:cs="仿宋_GB2312"/>
          <w:sz w:val="32"/>
          <w:szCs w:val="32"/>
          <w:lang w:eastAsia="zh-CN"/>
        </w:rPr>
        <w:t>依照培训内容</w:t>
      </w:r>
      <w:r>
        <w:rPr>
          <w:rFonts w:hint="eastAsia" w:ascii="仿宋_GB2312" w:hAnsi="仿宋_GB2312" w:eastAsia="仿宋_GB2312" w:cs="仿宋_GB2312"/>
          <w:sz w:val="32"/>
          <w:szCs w:val="32"/>
          <w:lang w:val="en-US" w:eastAsia="zh-CN"/>
        </w:rPr>
        <w:t>+单位实际，在本单位开展医疗机构消防安全管理培训</w:t>
      </w:r>
      <w:r>
        <w:rPr>
          <w:rFonts w:hint="eastAsia" w:ascii="仿宋_GB2312" w:hAnsi="仿宋_GB2312" w:eastAsia="仿宋_GB2312" w:cs="仿宋_GB2312"/>
          <w:sz w:val="32"/>
          <w:szCs w:val="32"/>
        </w:rPr>
        <w:t>，采用“理论+研讨+实操”的方式，紧扣今年消防宣传月“全民消防，生命至上”的主题，切实达到每个人都是消防安全的参与者和守护者的目的。</w:t>
      </w:r>
      <w:r>
        <w:rPr>
          <w:rFonts w:hint="eastAsia" w:ascii="仿宋_GB2312" w:hAnsi="仿宋_GB2312" w:eastAsia="仿宋_GB2312" w:cs="仿宋_GB2312"/>
          <w:sz w:val="32"/>
          <w:szCs w:val="32"/>
          <w:lang w:eastAsia="zh-CN"/>
        </w:rPr>
        <w:t>目前，全旗医疗机构开展消防安全管理培训会</w:t>
      </w:r>
      <w:r>
        <w:rPr>
          <w:rFonts w:hint="eastAsia" w:ascii="仿宋_GB2312" w:hAnsi="仿宋_GB2312" w:eastAsia="仿宋_GB2312" w:cs="仿宋_GB2312"/>
          <w:sz w:val="32"/>
          <w:szCs w:val="32"/>
          <w:lang w:val="en-US" w:eastAsia="zh-CN"/>
        </w:rPr>
        <w:t>35</w:t>
      </w:r>
      <w:bookmarkStart w:id="0" w:name="_GoBack"/>
      <w:bookmarkEnd w:id="0"/>
      <w:r>
        <w:rPr>
          <w:rFonts w:hint="eastAsia" w:ascii="仿宋_GB2312" w:hAnsi="仿宋_GB2312" w:eastAsia="仿宋_GB2312" w:cs="仿宋_GB2312"/>
          <w:sz w:val="32"/>
          <w:szCs w:val="32"/>
          <w:lang w:val="en-US" w:eastAsia="zh-CN"/>
        </w:rPr>
        <w:t>场，达到医疗人员消防安全知识全覆盖。</w:t>
      </w:r>
    </w:p>
    <w:p w14:paraId="1C1B01DB">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73675" cy="2867660"/>
            <wp:effectExtent l="0" t="0" r="0" b="0"/>
            <wp:docPr id="5" name="图片 5" descr="42c7a5aa68c38bbb26d041887a89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2c7a5aa68c38bbb26d041887a8956b"/>
                    <pic:cNvPicPr>
                      <a:picLocks noChangeAspect="1"/>
                    </pic:cNvPicPr>
                  </pic:nvPicPr>
                  <pic:blipFill>
                    <a:blip r:embed="rId7"/>
                    <a:srcRect t="11762"/>
                    <a:stretch>
                      <a:fillRect/>
                    </a:stretch>
                  </pic:blipFill>
                  <pic:spPr>
                    <a:xfrm>
                      <a:off x="0" y="0"/>
                      <a:ext cx="5273675" cy="2867660"/>
                    </a:xfrm>
                    <a:prstGeom prst="rect">
                      <a:avLst/>
                    </a:prstGeom>
                  </pic:spPr>
                </pic:pic>
              </a:graphicData>
            </a:graphic>
          </wp:inline>
        </w:drawing>
      </w:r>
    </w:p>
    <w:p w14:paraId="1C5459EF">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99075" cy="2669540"/>
            <wp:effectExtent l="0" t="0" r="4445" b="12700"/>
            <wp:docPr id="7" name="图片 7" descr="45353431f94b9878e6a7803a9724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5353431f94b9878e6a7803a9724cdc"/>
                    <pic:cNvPicPr>
                      <a:picLocks noChangeAspect="1"/>
                    </pic:cNvPicPr>
                  </pic:nvPicPr>
                  <pic:blipFill>
                    <a:blip r:embed="rId8"/>
                    <a:stretch>
                      <a:fillRect/>
                    </a:stretch>
                  </pic:blipFill>
                  <pic:spPr>
                    <a:xfrm>
                      <a:off x="0" y="0"/>
                      <a:ext cx="5299075" cy="2669540"/>
                    </a:xfrm>
                    <a:prstGeom prst="rect">
                      <a:avLst/>
                    </a:prstGeom>
                  </pic:spPr>
                </pic:pic>
              </a:graphicData>
            </a:graphic>
          </wp:inline>
        </w:drawing>
      </w:r>
    </w:p>
    <w:p w14:paraId="7132DF77">
      <w:pP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80025" cy="2943225"/>
            <wp:effectExtent l="0" t="0" r="0" b="0"/>
            <wp:docPr id="6" name="图片 6" descr="5b12669bfd80b2d7071e96cede2c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b12669bfd80b2d7071e96cede2c7fb"/>
                    <pic:cNvPicPr>
                      <a:picLocks noChangeAspect="1"/>
                    </pic:cNvPicPr>
                  </pic:nvPicPr>
                  <pic:blipFill>
                    <a:blip r:embed="rId9"/>
                    <a:srcRect t="23259" b="8770"/>
                    <a:stretch>
                      <a:fillRect/>
                    </a:stretch>
                  </pic:blipFill>
                  <pic:spPr>
                    <a:xfrm>
                      <a:off x="0" y="0"/>
                      <a:ext cx="5280025" cy="2943225"/>
                    </a:xfrm>
                    <a:prstGeom prst="rect">
                      <a:avLst/>
                    </a:prstGeom>
                  </pic:spPr>
                </pic:pic>
              </a:graphicData>
            </a:graphic>
          </wp:inline>
        </w:drawing>
      </w:r>
    </w:p>
    <w:p w14:paraId="0BD105B9">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通过此次消防安全知识培训，进一步增强了医疗机构相关人员的消防安全意识和防火灭火能力，培养了一批消防安全“明白人”，为全</w:t>
      </w:r>
      <w:r>
        <w:rPr>
          <w:rFonts w:hint="eastAsia" w:ascii="仿宋_GB2312" w:hAnsi="仿宋_GB2312" w:eastAsia="仿宋_GB2312" w:cs="仿宋_GB2312"/>
          <w:sz w:val="32"/>
          <w:szCs w:val="32"/>
          <w:lang w:eastAsia="zh-CN"/>
        </w:rPr>
        <w:t>旗</w:t>
      </w:r>
      <w:r>
        <w:rPr>
          <w:rFonts w:hint="eastAsia" w:ascii="仿宋_GB2312" w:hAnsi="仿宋_GB2312" w:eastAsia="仿宋_GB2312" w:cs="仿宋_GB2312"/>
          <w:sz w:val="32"/>
          <w:szCs w:val="32"/>
        </w:rPr>
        <w:t>医疗机构的消防安全工作打下了坚实的基础并筑起了一道坚实的“防火墙”。下一步，</w:t>
      </w:r>
      <w:r>
        <w:rPr>
          <w:rFonts w:hint="eastAsia" w:ascii="仿宋_GB2312" w:hAnsi="仿宋_GB2312" w:eastAsia="仿宋_GB2312" w:cs="仿宋_GB2312"/>
          <w:sz w:val="32"/>
          <w:szCs w:val="32"/>
          <w:lang w:eastAsia="zh-CN"/>
        </w:rPr>
        <w:t>旗卫健委</w:t>
      </w:r>
      <w:r>
        <w:rPr>
          <w:rFonts w:hint="eastAsia" w:ascii="仿宋_GB2312" w:hAnsi="仿宋_GB2312" w:eastAsia="仿宋_GB2312" w:cs="仿宋_GB2312"/>
          <w:sz w:val="32"/>
          <w:szCs w:val="32"/>
        </w:rPr>
        <w:t>将持续以“医疗+消防”的共建模式，有效提高卫生健康系统消防安全管理人员的火灾防范能力和应急处置能力，为保障医疗卫生事业的发展夯实基础，确保卫生健康系统消防安全形势持续稳定向好。</w:t>
      </w:r>
    </w:p>
    <w:p w14:paraId="4B86E062">
      <w:pPr>
        <w:ind w:firstLine="640" w:firstLineChars="2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编辑：卫健委于文君</w:t>
      </w:r>
    </w:p>
    <w:p w14:paraId="6FF84FAE">
      <w:pPr>
        <w:ind w:firstLine="640" w:firstLineChars="200"/>
        <w:jc w:val="righ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审核：卫健委</w:t>
      </w:r>
      <w:r>
        <w:rPr>
          <w:rFonts w:hint="eastAsia" w:ascii="仿宋_GB2312" w:hAnsi="仿宋_GB2312" w:eastAsia="仿宋_GB2312" w:cs="仿宋_GB2312"/>
          <w:sz w:val="32"/>
          <w:szCs w:val="32"/>
          <w:lang w:eastAsia="zh-CN"/>
        </w:rPr>
        <w:t>王飞宇</w:t>
      </w:r>
    </w:p>
    <w:p w14:paraId="27A98860">
      <w:pPr>
        <w:ind w:firstLine="640" w:firstLineChars="2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终审：卫健委刘海燕</w:t>
      </w:r>
    </w:p>
    <w:p w14:paraId="7DB66BF0">
      <w:pPr>
        <w:ind w:firstLine="640" w:firstLineChars="200"/>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4NmQxMjEyMDk5YmIyYTMwMDlhZTM0NmRlOWM5NTYifQ=="/>
  </w:docVars>
  <w:rsids>
    <w:rsidRoot w:val="28096AE2"/>
    <w:rsid w:val="15636965"/>
    <w:rsid w:val="28096AE2"/>
    <w:rsid w:val="44050230"/>
    <w:rsid w:val="46F658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0"/>
    <w:basedOn w:val="1"/>
    <w:autoRedefine/>
    <w:qFormat/>
    <w:uiPriority w:val="0"/>
    <w:pPr>
      <w:widowControl/>
      <w:snapToGrid w:val="0"/>
      <w:spacing w:line="365" w:lineRule="atLeast"/>
      <w:ind w:left="1"/>
      <w:textAlignment w:val="bottom"/>
    </w:pPr>
    <w:rPr>
      <w:kern w:val="0"/>
      <w:sz w:val="20"/>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607</Words>
  <Characters>616</Characters>
  <Lines>0</Lines>
  <Paragraphs>0</Paragraphs>
  <TotalTime>18</TotalTime>
  <ScaleCrop>false</ScaleCrop>
  <LinksUpToDate>false</LinksUpToDate>
  <CharactersWithSpaces>622</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2024-11-12T02:25:00Z</dcterms:created>
  <dc:creator>Administrator</dc:creator>
  <cp:lastModifiedBy>Administrator</cp:lastModifiedBy>
  <dcterms:modified xsi:type="dcterms:W3CDTF">2024-11-12T07:28:38Z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12CE5CB99AE74402B247FE75D766C64F_11</vt:lpwstr>
  </property>
</Properties>
</file>