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256D6">
      <w:pPr>
        <w:widowControl/>
        <w:snapToGrid/>
        <w:spacing w:line="360" w:lineRule="auto"/>
        <w:ind w:left="0"/>
        <w:jc w:val="center"/>
        <w:textAlignment w:val="auto"/>
        <w:rPr>
          <w:rFonts w:ascii="黑体" w:hAnsi="黑体" w:eastAsia="黑体" w:cs="Times New Roman"/>
          <w:kern w:val="0"/>
          <w:sz w:val="96"/>
          <w:szCs w:val="24"/>
          <w:lang w:val="en-US" w:eastAsia="zh-CN" w:bidi="ar-SA"/>
        </w:rPr>
      </w:pPr>
      <w:r>
        <w:rPr>
          <w:rFonts w:hint="eastAsia" w:ascii="黑体" w:hAnsi="黑体" w:eastAsia="黑体" w:cs="Times New Roman"/>
          <w:kern w:val="0"/>
          <w:sz w:val="96"/>
          <w:szCs w:val="24"/>
          <w:lang w:val="en-US" w:eastAsia="zh-CN" w:bidi="ar-SA"/>
        </w:rPr>
        <w:t>卫生健康信息</w:t>
      </w:r>
    </w:p>
    <w:p w14:paraId="04C4FFA0">
      <w:pPr>
        <w:widowControl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4CB6E5FF">
      <w:pPr>
        <w:widowControl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（第133期）</w:t>
      </w:r>
    </w:p>
    <w:p w14:paraId="520C3A8D">
      <w:pPr>
        <w:widowControl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 w14:paraId="3A69A08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Calibri" w:eastAsia="仿宋_GB2312" w:cs="Times New Roman"/>
          <w:sz w:val="32"/>
          <w:u w:val="single"/>
        </w:rPr>
        <w:t xml:space="preserve">奈曼旗卫健系统党委 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u w:val="single"/>
        </w:rPr>
        <w:t>奈曼旗卫健委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u w:val="single"/>
        </w:rPr>
        <w:t>20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>24</w:t>
      </w:r>
      <w:r>
        <w:rPr>
          <w:rFonts w:hint="eastAsia" w:ascii="仿宋_GB2312" w:hAnsi="Calibri" w:eastAsia="仿宋_GB2312" w:cs="Times New Roman"/>
          <w:sz w:val="32"/>
          <w:u w:val="single"/>
        </w:rPr>
        <w:t>年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>12月20</w:t>
      </w:r>
      <w:r>
        <w:rPr>
          <w:rFonts w:hint="eastAsia" w:ascii="仿宋_GB2312" w:hAnsi="Calibri" w:eastAsia="仿宋_GB2312" w:cs="Times New Roman"/>
          <w:sz w:val="32"/>
          <w:u w:val="single"/>
        </w:rPr>
        <w:t>日</w:t>
      </w:r>
    </w:p>
    <w:p w14:paraId="5054DBB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奈曼旗卫健委召开医共体第三期</w:t>
      </w:r>
    </w:p>
    <w:p w14:paraId="610DEDA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牵头医院医生派驻服务基层工作部署会</w:t>
      </w:r>
    </w:p>
    <w:p w14:paraId="42C9ACE8">
      <w:pPr>
        <w:ind w:firstLine="640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 w14:paraId="09C36B52">
      <w:pPr>
        <w:ind w:firstLine="640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充分发挥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医共体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牵头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医院的引领作用，引导优质医疗资源下沉，进一步提升基层医疗服务水平，提高基层医疗服务的均衡性和可及性，增强广大群众的健康素养水平和健康服务的获得感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，奈曼旗卫健委在前两期派驻人员的基础上继续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对医共体各基层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成员单位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第三期牵头医院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医生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派驻服务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基层的活动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，此次共派出中级以上职称医务人员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20名支援苏木乡镇卫生院17个，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工作部署会在旗卫健委六楼会议室召开，卫健委孟繁彦副主任、相关业务股室、牵头医院院长、分管副院长、相关科室负责人及派驻人员20余人参加会议。</w:t>
      </w:r>
    </w:p>
    <w:p w14:paraId="61CCEC36">
      <w:pPr>
        <w:ind w:firstLine="640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会上，包金山股长通报了第一、二期派驻人员工作开展情况，解读了第三期医共体牵头医院医生派驻服务基层通知精神，同时对此次派驻人员相关工作进行了安排部署。</w:t>
      </w:r>
    </w:p>
    <w:p w14:paraId="05F662AC">
      <w:pPr>
        <w:ind w:firstLine="640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孟繁彦副主任强调：牵头医院、基层医疗卫生机构及派驻医务人员一定要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高度重视派驻服务工作，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克服困难、严肃纪律。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派出单位对派驻人员要严格要求，将派驻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基层服务作为职称晋升和聘任的重要依据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主动配合，积极参与，保障工作顺利开展。派驻单位要保证派驻人员的工作环境及食宿条件，积极开展宣传工作，为下沉工作营造良好的环境和氛围。委里相关股室、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eastAsia="zh-CN"/>
        </w:rPr>
        <w:t>牵头医院、基层医疗卫生机构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要严格派驻人员工作考核，根据派驻科室实际情况从门诊量、手术台次、授课讲座等方面进行考核，要及时开展派驻服务总结评估工作，对工作中表现优秀的人员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，给予表彰奖励。在职称晋升、岗位聘用、提拔任用、评优评先时，要优先考虑。</w:t>
      </w:r>
    </w:p>
    <w:p w14:paraId="4787374E">
      <w:pPr>
        <w:ind w:firstLine="640" w:firstLineChars="200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牵头医院院长做表态发言，表示积极发挥牵头医院引领作用，克服困难，保障派出人员工资待遇前提下，全力配合开展基层服务能力提升工作。</w:t>
      </w:r>
    </w:p>
    <w:p w14:paraId="21FC02F0">
      <w:p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8f859e5cbda2fec70f992c32f5e9c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859e5cbda2fec70f992c32f5e9c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DF066">
      <w:p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f5dfa2542196d00eff8787f2d31f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5dfa2542196d00eff8787f2d31f36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C7DB8">
      <w:p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2a3d111af88241440b3884a34035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a3d111af88241440b3884a340354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3C4D3">
      <w:p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 w14:paraId="0ED93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编辑：卫健委赵立云</w:t>
      </w:r>
    </w:p>
    <w:p w14:paraId="15A1D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审核：卫健委包金山</w:t>
      </w:r>
    </w:p>
    <w:p w14:paraId="06A6E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终审：卫健委孟繁彦</w:t>
      </w:r>
    </w:p>
    <w:p w14:paraId="4E9D5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7C1FF9">
      <w:p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p w14:paraId="7534B3F3">
      <w:pP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DB4EB2"/>
    <w:rsid w:val="3EEF7840"/>
    <w:rsid w:val="627B388A"/>
    <w:rsid w:val="74DB4EB2"/>
    <w:rsid w:val="77A3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683</Words>
  <Characters>686</Characters>
  <Lines>0</Lines>
  <Paragraphs>0</Paragraphs>
  <TotalTime>0</TotalTime>
  <ScaleCrop>false</ScaleCrop>
  <LinksUpToDate>false</LinksUpToDate>
  <CharactersWithSpaces>686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2024-12-20T07:59:00Z</dcterms:created>
  <dc:creator>云水禅心</dc:creator>
  <cp:lastModifiedBy>Administrator</cp:lastModifiedBy>
  <dcterms:modified xsi:type="dcterms:W3CDTF">2024-12-20T09:38:34Z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A7A7958F91F44FC09FB47857F07B4EF5_13</vt:lpwstr>
  </property>
</Properties>
</file>