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28362">
      <w:pPr>
        <w:pStyle w:val="21"/>
        <w:keepNext w:val="0"/>
        <w:keepLines w:val="0"/>
        <w:pageBreakBefore w:val="0"/>
        <w:widowControl w:val="0"/>
        <w:kinsoku/>
        <w:wordWrap/>
        <w:overflowPunct/>
        <w:topLinePunct w:val="0"/>
        <w:autoSpaceDE/>
        <w:autoSpaceDN/>
        <w:bidi w:val="0"/>
        <w:spacing w:beforeLines="0" w:afterLines="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0DD1E1D6">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25DA1AC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6D0B3CE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12D7B1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5927E5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pacing w:val="-11"/>
          <w:sz w:val="44"/>
          <w:szCs w:val="44"/>
          <w:lang w:eastAsia="zh-CN"/>
        </w:rPr>
        <w:t>关于报送《</w:t>
      </w:r>
      <w:r>
        <w:rPr>
          <w:rFonts w:hint="eastAsia" w:ascii="方正小标宋简体" w:hAnsi="方正小标宋简体" w:eastAsia="方正小标宋简体" w:cs="方正小标宋简体"/>
          <w:color w:val="auto"/>
          <w:sz w:val="44"/>
          <w:szCs w:val="44"/>
          <w:lang w:val="en-US" w:eastAsia="zh-CN"/>
        </w:rPr>
        <w:t>奈曼旗卫生健康委员会2024年度</w:t>
      </w:r>
    </w:p>
    <w:p w14:paraId="2B01A17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z w:val="44"/>
          <w:szCs w:val="44"/>
          <w:lang w:val="en-US" w:eastAsia="zh-CN"/>
        </w:rPr>
        <w:t>工作总结和2025年度工作安排</w:t>
      </w:r>
      <w:r>
        <w:rPr>
          <w:rFonts w:hint="eastAsia" w:ascii="方正小标宋简体" w:hAnsi="方正小标宋简体" w:eastAsia="方正小标宋简体" w:cs="方正小标宋简体"/>
          <w:color w:val="auto"/>
          <w:spacing w:val="-11"/>
          <w:sz w:val="44"/>
          <w:szCs w:val="44"/>
          <w:lang w:eastAsia="zh-CN"/>
        </w:rPr>
        <w:t>》的报告</w:t>
      </w:r>
    </w:p>
    <w:p w14:paraId="1AB66EA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0DBF361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奈曼旗人民政府：</w:t>
      </w:r>
    </w:p>
    <w:p w14:paraId="49D4AFB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现将《奈曼旗卫生健康委员会2024年度工作总结和2025年度工作安排》随文呈上，请阅示。</w:t>
      </w:r>
    </w:p>
    <w:p w14:paraId="0AB67F2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14:paraId="719BC375">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14:paraId="123E58C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14:paraId="7FE02EF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2024年10月23日</w:t>
      </w:r>
    </w:p>
    <w:p w14:paraId="39098248">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14:paraId="14425CB3">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14:paraId="6846F0D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18D0A74F">
      <w:pPr>
        <w:pStyle w:val="21"/>
        <w:keepNext w:val="0"/>
        <w:keepLines w:val="0"/>
        <w:pageBreakBefore w:val="0"/>
        <w:widowControl w:val="0"/>
        <w:kinsoku/>
        <w:wordWrap/>
        <w:overflowPunct/>
        <w:topLinePunct w:val="0"/>
        <w:autoSpaceDE/>
        <w:autoSpaceDN/>
        <w:bidi w:val="0"/>
        <w:spacing w:beforeLines="0" w:afterLines="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3BA71234">
      <w:pPr>
        <w:pStyle w:val="21"/>
        <w:keepNext w:val="0"/>
        <w:keepLines w:val="0"/>
        <w:pageBreakBefore w:val="0"/>
        <w:widowControl w:val="0"/>
        <w:kinsoku/>
        <w:wordWrap/>
        <w:overflowPunct/>
        <w:topLinePunct w:val="0"/>
        <w:autoSpaceDE/>
        <w:autoSpaceDN/>
        <w:bidi w:val="0"/>
        <w:spacing w:beforeLines="0" w:afterLines="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002C3B5D">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513921B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2F6D583C">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rPr>
      </w:pPr>
    </w:p>
    <w:p w14:paraId="02FE7923">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rPr>
      </w:pPr>
    </w:p>
    <w:p w14:paraId="763EEEF5">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奈曼旗卫生健康委员会</w:t>
      </w:r>
    </w:p>
    <w:p w14:paraId="5B8548EC">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2024年度工作总结和2025年度工作安排</w:t>
      </w:r>
    </w:p>
    <w:p w14:paraId="17F9BA5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607961B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2024年，全系统</w:t>
      </w:r>
      <w:r>
        <w:rPr>
          <w:rFonts w:hint="eastAsia" w:ascii="仿宋_GB2312" w:hAnsi="仿宋_GB2312" w:eastAsia="仿宋_GB2312" w:cs="仿宋_GB2312"/>
          <w:b w:val="0"/>
          <w:bCs w:val="0"/>
          <w:color w:val="auto"/>
          <w:sz w:val="32"/>
          <w:szCs w:val="32"/>
        </w:rPr>
        <w:t>坚持以习近平新时代中国特色社会主义思想为指导，</w:t>
      </w:r>
      <w:r>
        <w:rPr>
          <w:rFonts w:hint="eastAsia" w:ascii="仿宋_GB2312" w:hAnsi="仿宋_GB2312" w:eastAsia="仿宋_GB2312" w:cs="仿宋_GB2312"/>
          <w:b w:val="0"/>
          <w:bCs w:val="0"/>
          <w:color w:val="auto"/>
          <w:sz w:val="32"/>
          <w:szCs w:val="32"/>
          <w:lang w:eastAsia="zh-CN"/>
        </w:rPr>
        <w:t>全面</w:t>
      </w:r>
      <w:r>
        <w:rPr>
          <w:rFonts w:hint="eastAsia" w:ascii="仿宋_GB2312" w:hAnsi="仿宋_GB2312" w:eastAsia="仿宋_GB2312" w:cs="仿宋_GB2312"/>
          <w:b w:val="0"/>
          <w:bCs w:val="0"/>
          <w:color w:val="auto"/>
          <w:sz w:val="32"/>
          <w:szCs w:val="32"/>
        </w:rPr>
        <w:t>贯彻党的二十大和二十届二中</w:t>
      </w:r>
      <w:r>
        <w:rPr>
          <w:rFonts w:hint="eastAsia" w:ascii="仿宋_GB2312" w:hAnsi="仿宋_GB2312" w:eastAsia="仿宋_GB2312" w:cs="仿宋_GB2312"/>
          <w:b w:val="0"/>
          <w:bCs w:val="0"/>
          <w:color w:val="auto"/>
          <w:sz w:val="32"/>
          <w:szCs w:val="32"/>
          <w:lang w:eastAsia="zh-CN"/>
        </w:rPr>
        <w:t>、三中</w:t>
      </w:r>
      <w:r>
        <w:rPr>
          <w:rFonts w:hint="eastAsia" w:ascii="仿宋_GB2312" w:hAnsi="仿宋_GB2312" w:eastAsia="仿宋_GB2312" w:cs="仿宋_GB2312"/>
          <w:b w:val="0"/>
          <w:bCs w:val="0"/>
          <w:color w:val="auto"/>
          <w:sz w:val="32"/>
          <w:szCs w:val="32"/>
        </w:rPr>
        <w:t>全会精神，</w:t>
      </w:r>
      <w:r>
        <w:rPr>
          <w:rFonts w:hint="eastAsia" w:ascii="仿宋_GB2312" w:hAnsi="仿宋_GB2312" w:eastAsia="仿宋_GB2312" w:cs="仿宋_GB2312"/>
          <w:b w:val="0"/>
          <w:bCs w:val="0"/>
          <w:color w:val="auto"/>
          <w:sz w:val="32"/>
          <w:szCs w:val="32"/>
          <w:lang w:eastAsia="zh-CN"/>
        </w:rPr>
        <w:t>围绕</w:t>
      </w: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旗卫生健康工作</w:t>
      </w:r>
      <w:r>
        <w:rPr>
          <w:rFonts w:hint="eastAsia" w:ascii="仿宋_GB2312" w:hAnsi="仿宋_GB2312" w:eastAsia="仿宋_GB2312" w:cs="仿宋_GB2312"/>
          <w:b w:val="0"/>
          <w:bCs w:val="0"/>
          <w:color w:val="auto"/>
          <w:sz w:val="32"/>
          <w:szCs w:val="32"/>
          <w:lang w:eastAsia="zh-CN"/>
        </w:rPr>
        <w:t>重点及旗卫健委年初工作安排</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深化医药卫生体制改革，加强卫生健康人才队伍建设，提高医疗服务质量，促进中蒙医药传承创新，健全公共卫生服务体系，全面推进健康奈曼建设，推动卫生健康事业高质量发展。</w:t>
      </w:r>
    </w:p>
    <w:p w14:paraId="11F08AD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一、202</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年</w:t>
      </w:r>
      <w:r>
        <w:rPr>
          <w:rFonts w:hint="eastAsia" w:ascii="黑体" w:hAnsi="黑体" w:eastAsia="黑体" w:cs="黑体"/>
          <w:color w:val="auto"/>
          <w:sz w:val="32"/>
          <w:szCs w:val="32"/>
          <w:lang w:eastAsia="zh-CN"/>
        </w:rPr>
        <w:t>度</w:t>
      </w:r>
      <w:r>
        <w:rPr>
          <w:rFonts w:hint="eastAsia" w:ascii="黑体" w:hAnsi="黑体" w:eastAsia="黑体" w:cs="黑体"/>
          <w:color w:val="auto"/>
          <w:sz w:val="32"/>
          <w:szCs w:val="32"/>
        </w:rPr>
        <w:t>工作总结</w:t>
      </w:r>
    </w:p>
    <w:p w14:paraId="19F63A70">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（一）不断深化医药卫生体制改革</w:t>
      </w:r>
    </w:p>
    <w:p w14:paraId="461887DF">
      <w:pPr>
        <w:pStyle w:val="12"/>
        <w:keepNext w:val="0"/>
        <w:keepLines w:val="0"/>
        <w:pageBreakBefore w:val="0"/>
        <w:widowControl w:val="0"/>
        <w:kinsoku/>
        <w:wordWrap/>
        <w:overflowPunct/>
        <w:autoSpaceDE/>
        <w:autoSpaceDN/>
        <w:bidi w:val="0"/>
        <w:spacing w:line="560" w:lineRule="exact"/>
        <w:ind w:left="0" w:leftChars="0" w:firstLine="642"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1.推进公立医院高质量发展。</w:t>
      </w:r>
      <w:r>
        <w:rPr>
          <w:rFonts w:hint="eastAsia" w:ascii="仿宋_GB2312" w:hAnsi="仿宋_GB2312" w:eastAsia="仿宋_GB2312" w:cs="仿宋_GB2312"/>
          <w:b w:val="0"/>
          <w:bCs w:val="0"/>
          <w:color w:val="auto"/>
          <w:sz w:val="32"/>
          <w:szCs w:val="32"/>
          <w:lang w:val="en-US" w:eastAsia="zh-CN"/>
        </w:rPr>
        <w:t>指导旗人民医院三级医院创建工作,积极推进区域医疗服务中心建设。</w:t>
      </w:r>
      <w:r>
        <w:rPr>
          <w:rFonts w:hint="eastAsia" w:ascii="仿宋_GB2312" w:hAnsi="仿宋_GB2312" w:eastAsia="仿宋_GB2312" w:cs="仿宋_GB2312"/>
          <w:color w:val="auto"/>
          <w:sz w:val="32"/>
          <w:szCs w:val="32"/>
          <w:highlight w:val="none"/>
        </w:rPr>
        <w:t>深入推进公立医院临床重点专科建设三年攻坚行动。强化医疗机构精细化管理，加强专科能力和学科能力建设。</w:t>
      </w:r>
      <w:r>
        <w:rPr>
          <w:rFonts w:hint="eastAsia" w:ascii="仿宋_GB2312" w:hAnsi="仿宋_GB2312" w:eastAsia="仿宋_GB2312" w:cs="仿宋_GB2312"/>
          <w:color w:val="auto"/>
          <w:sz w:val="32"/>
          <w:szCs w:val="32"/>
          <w:highlight w:val="none"/>
          <w:lang w:eastAsia="zh-CN"/>
        </w:rPr>
        <w:t>前期</w:t>
      </w:r>
      <w:r>
        <w:rPr>
          <w:rFonts w:hint="eastAsia" w:ascii="仿宋_GB2312" w:hAnsi="仿宋_GB2312" w:eastAsia="仿宋_GB2312" w:cs="仿宋_GB2312"/>
          <w:color w:val="auto"/>
          <w:sz w:val="32"/>
          <w:szCs w:val="32"/>
          <w:highlight w:val="none"/>
        </w:rPr>
        <w:t>旗人民医院</w:t>
      </w:r>
      <w:r>
        <w:rPr>
          <w:rFonts w:hint="eastAsia" w:ascii="仿宋_GB2312" w:hAnsi="仿宋_GB2312" w:eastAsia="仿宋_GB2312" w:cs="仿宋_GB2312"/>
          <w:color w:val="auto"/>
          <w:sz w:val="32"/>
          <w:szCs w:val="32"/>
          <w:highlight w:val="none"/>
          <w:lang w:eastAsia="zh-CN"/>
        </w:rPr>
        <w:t>申报的</w:t>
      </w:r>
      <w:r>
        <w:rPr>
          <w:rFonts w:hint="eastAsia" w:ascii="仿宋_GB2312" w:hAnsi="仿宋_GB2312" w:eastAsia="仿宋_GB2312" w:cs="仿宋_GB2312"/>
          <w:color w:val="auto"/>
          <w:sz w:val="32"/>
          <w:szCs w:val="32"/>
          <w:highlight w:val="none"/>
          <w:lang w:val="en-US" w:eastAsia="zh-CN"/>
        </w:rPr>
        <w:t>9个市级重点专科，</w:t>
      </w:r>
      <w:r>
        <w:rPr>
          <w:rFonts w:hint="eastAsia" w:ascii="仿宋_GB2312" w:hAnsi="仿宋_GB2312" w:eastAsia="仿宋_GB2312" w:cs="仿宋_GB2312"/>
          <w:color w:val="auto"/>
          <w:sz w:val="32"/>
          <w:szCs w:val="32"/>
          <w:lang w:val="en-US" w:eastAsia="zh-CN"/>
        </w:rPr>
        <w:t>经遴选，神经内科被拟确定为市级重点专科，今年已经通过市专家组评审，确定为市级重点专科。今年申报眼科，拟确定为市级重点专科，等待市专家组评审。</w:t>
      </w:r>
      <w:r>
        <w:rPr>
          <w:rFonts w:hint="eastAsia" w:ascii="仿宋_GB2312" w:hAnsi="仿宋_GB2312" w:eastAsia="仿宋_GB2312" w:cs="仿宋_GB2312"/>
          <w:color w:val="auto"/>
          <w:sz w:val="32"/>
          <w:szCs w:val="32"/>
          <w:highlight w:val="none"/>
          <w:lang w:val="en-US" w:eastAsia="zh-CN"/>
        </w:rPr>
        <w:t>启动旗县级重点专科评审工作，印发了旗级重点专科实施方案，年内至少建成2个及以上旗县级重点专科。</w:t>
      </w:r>
      <w:r>
        <w:rPr>
          <w:rFonts w:hint="eastAsia" w:ascii="仿宋_GB2312" w:hAnsi="仿宋_GB2312" w:eastAsia="仿宋_GB2312" w:cs="仿宋_GB2312"/>
          <w:b w:val="0"/>
          <w:bCs w:val="0"/>
          <w:color w:val="auto"/>
          <w:sz w:val="32"/>
          <w:szCs w:val="32"/>
          <w:highlight w:val="none"/>
          <w:lang w:val="en-US" w:eastAsia="zh-CN"/>
        </w:rPr>
        <w:t>规范建成胸痛、卒中、创伤、危重孕产妇、危重儿童和新生儿救治中心“五大</w:t>
      </w:r>
      <w:r>
        <w:rPr>
          <w:rFonts w:hint="eastAsia" w:ascii="仿宋_GB2312" w:hAnsi="仿宋_GB2312" w:eastAsia="仿宋_GB2312" w:cs="仿宋_GB2312"/>
          <w:b w:val="0"/>
          <w:bCs w:val="0"/>
          <w:color w:val="auto"/>
          <w:sz w:val="32"/>
          <w:szCs w:val="32"/>
          <w:lang w:val="en-US" w:eastAsia="zh-CN"/>
        </w:rPr>
        <w:t>中心”，通过绿色通道救治及转运等，急诊急救能力得到提升。2024年7月13日，奈曼旗人民医院创伤中心加入中国创伤联盟，并已授牌。旗人民医院与北京潞河医院签订了帮扶交流协议书，形成了签约医院派专家到旗医院坐诊、带教、手术示范长效机制，目前，潞河医院消化内科、心血管内科2名专家正在旗人民医院坐诊。拟定了《奈曼旗医共体双向转诊工作实施方案（试行）》，</w:t>
      </w:r>
      <w:r>
        <w:rPr>
          <w:rFonts w:hint="eastAsia" w:ascii="仿宋_GB2312" w:hAnsi="仿宋_GB2312" w:eastAsia="仿宋_GB2312" w:cs="仿宋_GB2312"/>
          <w:b w:val="0"/>
          <w:bCs w:val="0"/>
          <w:color w:val="auto"/>
          <w:sz w:val="32"/>
          <w:szCs w:val="32"/>
        </w:rPr>
        <w:t>建</w:t>
      </w:r>
      <w:r>
        <w:rPr>
          <w:rFonts w:hint="eastAsia" w:ascii="仿宋_GB2312" w:hAnsi="仿宋_GB2312" w:eastAsia="仿宋_GB2312" w:cs="仿宋_GB2312"/>
          <w:b w:val="0"/>
          <w:bCs w:val="0"/>
          <w:color w:val="auto"/>
          <w:sz w:val="32"/>
          <w:szCs w:val="32"/>
          <w:highlight w:val="none"/>
        </w:rPr>
        <w:t>立健全旗</w:t>
      </w:r>
      <w:r>
        <w:rPr>
          <w:rFonts w:hint="eastAsia" w:ascii="仿宋_GB2312" w:hAnsi="仿宋_GB2312" w:eastAsia="仿宋_GB2312" w:cs="仿宋_GB2312"/>
          <w:b w:val="0"/>
          <w:bCs w:val="0"/>
          <w:color w:val="auto"/>
          <w:sz w:val="32"/>
          <w:szCs w:val="32"/>
          <w:highlight w:val="none"/>
          <w:lang w:eastAsia="zh-CN"/>
        </w:rPr>
        <w:t>乡</w:t>
      </w:r>
      <w:r>
        <w:rPr>
          <w:rFonts w:hint="eastAsia" w:ascii="仿宋_GB2312" w:hAnsi="仿宋_GB2312" w:eastAsia="仿宋_GB2312" w:cs="仿宋_GB2312"/>
          <w:b w:val="0"/>
          <w:bCs w:val="0"/>
          <w:color w:val="auto"/>
          <w:sz w:val="32"/>
          <w:szCs w:val="32"/>
          <w:highlight w:val="none"/>
        </w:rPr>
        <w:t>医疗机构之间的双向转诊制度</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kern w:val="0"/>
          <w:sz w:val="32"/>
          <w:szCs w:val="32"/>
          <w:lang w:val="en-US" w:eastAsia="zh-CN" w:bidi="ar"/>
        </w:rPr>
        <w:t>旗人民医院互联网医院投入运营使用，就诊者可通过移动终端进行网上挂号、诊疗、报销、检验和化验单查询等服务，共通过互联网医院门诊诊疗311人次。</w:t>
      </w:r>
    </w:p>
    <w:p w14:paraId="68D49C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2.推进县域医共体建设。</w:t>
      </w:r>
      <w:r>
        <w:rPr>
          <w:rFonts w:hint="eastAsia" w:ascii="仿宋_GB2312" w:hAnsi="仿宋_GB2312" w:eastAsia="仿宋_GB2312" w:cs="仿宋_GB2312"/>
          <w:color w:val="auto"/>
          <w:spacing w:val="0"/>
          <w:sz w:val="32"/>
          <w:szCs w:val="32"/>
          <w:lang w:eastAsia="zh-CN"/>
        </w:rPr>
        <w:t>调整和完善</w:t>
      </w:r>
      <w:r>
        <w:rPr>
          <w:rFonts w:hint="eastAsia" w:ascii="仿宋_GB2312" w:hAnsi="仿宋_GB2312" w:eastAsia="仿宋_GB2312" w:cs="仿宋_GB2312"/>
          <w:color w:val="auto"/>
          <w:spacing w:val="0"/>
          <w:sz w:val="32"/>
          <w:szCs w:val="32"/>
        </w:rPr>
        <w:t>《奈曼旗紧密型县域医疗卫生共同体改革</w:t>
      </w: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rPr>
        <w:t>年行动方案</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2023—2025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w:t>
      </w:r>
      <w:r>
        <w:rPr>
          <w:rFonts w:hint="eastAsia" w:ascii="Times New Roman" w:hAnsi="Times New Roman" w:eastAsia="仿宋_GB2312" w:cs="仿宋_GB2312"/>
          <w:color w:val="auto"/>
          <w:spacing w:val="0"/>
          <w:sz w:val="32"/>
          <w:szCs w:val="32"/>
          <w:highlight w:val="none"/>
          <w:shd w:val="clear" w:color="auto" w:fill="auto"/>
        </w:rPr>
        <w:t>印发了《奈曼旗基层医疗卫生单位实施内部绩效薪酬指导意见（试行）》等文件。</w:t>
      </w:r>
      <w:r>
        <w:rPr>
          <w:rFonts w:hint="eastAsia" w:ascii="仿宋_GB2312" w:hAnsi="仿宋_GB2312" w:eastAsia="仿宋_GB2312" w:cs="仿宋_GB2312"/>
          <w:color w:val="auto"/>
          <w:spacing w:val="0"/>
          <w:sz w:val="32"/>
          <w:szCs w:val="32"/>
          <w:highlight w:val="none"/>
          <w:lang w:val="en-US" w:eastAsia="zh-CN"/>
        </w:rPr>
        <w:t>组成以</w:t>
      </w:r>
      <w:r>
        <w:rPr>
          <w:rFonts w:hint="eastAsia" w:ascii="仿宋_GB2312" w:hAnsi="仿宋_GB2312" w:eastAsia="仿宋_GB2312" w:cs="仿宋_GB2312"/>
          <w:color w:val="auto"/>
          <w:spacing w:val="0"/>
          <w:sz w:val="32"/>
          <w:szCs w:val="32"/>
          <w:highlight w:val="none"/>
        </w:rPr>
        <w:t>旗人民医院</w:t>
      </w:r>
      <w:r>
        <w:rPr>
          <w:rFonts w:hint="eastAsia" w:ascii="仿宋_GB2312" w:hAnsi="仿宋_GB2312" w:eastAsia="仿宋_GB2312" w:cs="仿宋_GB2312"/>
          <w:color w:val="auto"/>
          <w:spacing w:val="0"/>
          <w:sz w:val="32"/>
          <w:szCs w:val="32"/>
          <w:highlight w:val="none"/>
          <w:lang w:eastAsia="zh-CN"/>
        </w:rPr>
        <w:t>、旗蒙医医院为牵头医院，</w:t>
      </w:r>
      <w:r>
        <w:rPr>
          <w:rFonts w:hint="eastAsia" w:ascii="仿宋_GB2312" w:hAnsi="仿宋_GB2312" w:eastAsia="仿宋_GB2312" w:cs="仿宋_GB2312"/>
          <w:color w:val="auto"/>
          <w:spacing w:val="0"/>
          <w:sz w:val="32"/>
          <w:szCs w:val="32"/>
          <w:highlight w:val="none"/>
          <w:lang w:val="en-US" w:eastAsia="zh-CN"/>
        </w:rPr>
        <w:t>21家</w:t>
      </w:r>
      <w:r>
        <w:rPr>
          <w:rFonts w:hint="eastAsia" w:ascii="仿宋_GB2312" w:hAnsi="仿宋_GB2312" w:eastAsia="仿宋_GB2312" w:cs="仿宋_GB2312"/>
          <w:color w:val="auto"/>
          <w:spacing w:val="0"/>
          <w:sz w:val="32"/>
          <w:szCs w:val="32"/>
          <w:highlight w:val="none"/>
        </w:rPr>
        <w:t>基层卫生院</w:t>
      </w:r>
      <w:r>
        <w:rPr>
          <w:rFonts w:hint="eastAsia" w:ascii="仿宋_GB2312" w:hAnsi="仿宋_GB2312" w:eastAsia="仿宋_GB2312" w:cs="仿宋_GB2312"/>
          <w:color w:val="auto"/>
          <w:spacing w:val="0"/>
          <w:sz w:val="32"/>
          <w:szCs w:val="32"/>
          <w:highlight w:val="none"/>
          <w:lang w:eastAsia="zh-CN"/>
        </w:rPr>
        <w:t>和</w:t>
      </w:r>
      <w:r>
        <w:rPr>
          <w:rFonts w:hint="eastAsia" w:ascii="仿宋_GB2312" w:hAnsi="仿宋_GB2312" w:eastAsia="仿宋_GB2312" w:cs="仿宋_GB2312"/>
          <w:color w:val="auto"/>
          <w:spacing w:val="0"/>
          <w:sz w:val="32"/>
          <w:szCs w:val="32"/>
          <w:highlight w:val="none"/>
        </w:rPr>
        <w:t>社区卫生服务中心</w:t>
      </w:r>
      <w:r>
        <w:rPr>
          <w:rFonts w:hint="eastAsia" w:ascii="仿宋_GB2312" w:hAnsi="仿宋_GB2312" w:eastAsia="仿宋_GB2312" w:cs="仿宋_GB2312"/>
          <w:color w:val="auto"/>
          <w:spacing w:val="0"/>
          <w:sz w:val="32"/>
          <w:szCs w:val="32"/>
          <w:highlight w:val="none"/>
          <w:lang w:eastAsia="zh-CN"/>
        </w:rPr>
        <w:t>为分院的紧密型县域医共体</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实现</w:t>
      </w:r>
      <w:r>
        <w:rPr>
          <w:rFonts w:hint="eastAsia" w:ascii="仿宋_GB2312" w:hAnsi="仿宋_GB2312" w:eastAsia="仿宋_GB2312" w:cs="仿宋_GB2312"/>
          <w:color w:val="auto"/>
          <w:spacing w:val="0"/>
          <w:sz w:val="32"/>
          <w:szCs w:val="32"/>
          <w:lang w:val="en-US" w:eastAsia="zh-CN"/>
        </w:rPr>
        <w:t>基层医疗机构医共体全覆盖</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z w:val="32"/>
          <w:szCs w:val="32"/>
          <w:lang w:eastAsia="zh-CN"/>
        </w:rPr>
        <w:t>推进旗</w:t>
      </w:r>
      <w:r>
        <w:rPr>
          <w:rFonts w:hint="eastAsia" w:ascii="仿宋_GB2312" w:hAnsi="仿宋_GB2312" w:eastAsia="仿宋_GB2312" w:cs="仿宋_GB2312"/>
          <w:color w:val="auto"/>
          <w:sz w:val="32"/>
          <w:szCs w:val="32"/>
        </w:rPr>
        <w:t>乡同质化</w:t>
      </w:r>
      <w:r>
        <w:rPr>
          <w:rFonts w:hint="eastAsia" w:ascii="仿宋_GB2312" w:hAnsi="仿宋_GB2312" w:eastAsia="仿宋_GB2312" w:cs="仿宋_GB2312"/>
          <w:color w:val="auto"/>
          <w:sz w:val="32"/>
          <w:szCs w:val="32"/>
          <w:lang w:eastAsia="zh-CN"/>
        </w:rPr>
        <w:t>服务，</w:t>
      </w:r>
      <w:r>
        <w:rPr>
          <w:rStyle w:val="15"/>
          <w:rFonts w:hint="eastAsia" w:ascii="仿宋_GB2312" w:hAnsi="仿宋_GB2312" w:eastAsia="仿宋_GB2312" w:cs="仿宋_GB2312"/>
          <w:b w:val="0"/>
          <w:bCs w:val="0"/>
          <w:i w:val="0"/>
          <w:iCs w:val="0"/>
          <w:color w:val="auto"/>
          <w:spacing w:val="0"/>
          <w:sz w:val="32"/>
          <w:szCs w:val="32"/>
          <w:shd w:val="clear" w:fill="FFFFFF"/>
          <w:lang w:eastAsia="zh-CN"/>
        </w:rPr>
        <w:t>开展</w:t>
      </w:r>
      <w:r>
        <w:rPr>
          <w:rFonts w:hint="eastAsia" w:ascii="仿宋_GB2312" w:hAnsi="仿宋_GB2312" w:eastAsia="仿宋_GB2312" w:cs="仿宋_GB2312"/>
          <w:b w:val="0"/>
          <w:bCs w:val="0"/>
          <w:color w:val="auto"/>
          <w:spacing w:val="7"/>
          <w:sz w:val="32"/>
          <w:szCs w:val="32"/>
        </w:rPr>
        <w:t>医共体</w:t>
      </w:r>
      <w:r>
        <w:rPr>
          <w:rFonts w:hint="eastAsia" w:ascii="仿宋_GB2312" w:hAnsi="仿宋_GB2312" w:eastAsia="仿宋_GB2312" w:cs="仿宋_GB2312"/>
          <w:b w:val="0"/>
          <w:bCs w:val="0"/>
          <w:color w:val="auto"/>
          <w:spacing w:val="7"/>
          <w:sz w:val="32"/>
          <w:szCs w:val="32"/>
          <w:lang w:eastAsia="zh-CN"/>
        </w:rPr>
        <w:t>旗级医</w:t>
      </w:r>
      <w:r>
        <w:rPr>
          <w:rFonts w:hint="eastAsia" w:ascii="仿宋_GB2312" w:hAnsi="仿宋_GB2312" w:eastAsia="仿宋_GB2312" w:cs="仿宋_GB2312"/>
          <w:b w:val="0"/>
          <w:bCs w:val="0"/>
          <w:color w:val="auto"/>
          <w:spacing w:val="7"/>
          <w:sz w:val="32"/>
          <w:szCs w:val="32"/>
        </w:rPr>
        <w:t>院</w:t>
      </w:r>
      <w:r>
        <w:rPr>
          <w:rFonts w:hint="eastAsia" w:ascii="仿宋_GB2312" w:hAnsi="仿宋_GB2312" w:eastAsia="仿宋_GB2312" w:cs="仿宋_GB2312"/>
          <w:b w:val="0"/>
          <w:bCs w:val="0"/>
          <w:color w:val="auto"/>
          <w:spacing w:val="6"/>
          <w:sz w:val="32"/>
          <w:szCs w:val="32"/>
        </w:rPr>
        <w:t>医生</w:t>
      </w:r>
      <w:r>
        <w:rPr>
          <w:rFonts w:hint="eastAsia" w:ascii="仿宋_GB2312" w:hAnsi="仿宋_GB2312" w:eastAsia="仿宋_GB2312" w:cs="仿宋_GB2312"/>
          <w:b w:val="0"/>
          <w:bCs w:val="0"/>
          <w:color w:val="auto"/>
          <w:spacing w:val="6"/>
          <w:sz w:val="32"/>
          <w:szCs w:val="32"/>
          <w:lang w:eastAsia="zh-CN"/>
        </w:rPr>
        <w:t>派驻</w:t>
      </w:r>
      <w:r>
        <w:rPr>
          <w:rFonts w:hint="eastAsia" w:ascii="仿宋_GB2312" w:hAnsi="仿宋_GB2312" w:eastAsia="仿宋_GB2312" w:cs="仿宋_GB2312"/>
          <w:b w:val="0"/>
          <w:bCs w:val="0"/>
          <w:color w:val="auto"/>
          <w:spacing w:val="6"/>
          <w:sz w:val="32"/>
          <w:szCs w:val="32"/>
        </w:rPr>
        <w:t>基层</w:t>
      </w:r>
      <w:r>
        <w:rPr>
          <w:rFonts w:hint="eastAsia" w:ascii="仿宋_GB2312" w:hAnsi="仿宋_GB2312" w:eastAsia="仿宋_GB2312" w:cs="仿宋_GB2312"/>
          <w:b w:val="0"/>
          <w:bCs w:val="0"/>
          <w:color w:val="auto"/>
          <w:spacing w:val="6"/>
          <w:sz w:val="32"/>
          <w:szCs w:val="32"/>
          <w:lang w:eastAsia="zh-CN"/>
        </w:rPr>
        <w:t>支医活动，从旗级医院选派21名主治医生到21家基层卫生院和社区卫生服务中心开展驻点支医半年，实现派驻帮扶全覆盖。</w:t>
      </w:r>
      <w:r>
        <w:rPr>
          <w:rStyle w:val="15"/>
          <w:rFonts w:hint="eastAsia" w:ascii="仿宋_GB2312" w:hAnsi="仿宋_GB2312" w:eastAsia="仿宋_GB2312" w:cs="仿宋_GB2312"/>
          <w:b w:val="0"/>
          <w:bCs w:val="0"/>
          <w:i w:val="0"/>
          <w:iCs w:val="0"/>
          <w:color w:val="auto"/>
          <w:spacing w:val="0"/>
          <w:sz w:val="32"/>
          <w:szCs w:val="32"/>
          <w:shd w:val="clear" w:fill="FFFFFF"/>
          <w:lang w:val="en-US" w:eastAsia="zh-CN"/>
        </w:rPr>
        <w:t>推进旗级优质资源下沉，在旗级医院</w:t>
      </w:r>
      <w:r>
        <w:rPr>
          <w:rFonts w:hint="eastAsia" w:ascii="仿宋_GB2312" w:hAnsi="仿宋_GB2312" w:eastAsia="仿宋_GB2312" w:cs="仿宋_GB2312"/>
          <w:color w:val="auto"/>
          <w:sz w:val="32"/>
          <w:szCs w:val="32"/>
          <w:lang w:eastAsia="zh-CN"/>
        </w:rPr>
        <w:t>组建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支医疗卫生服务团队，开展送医下基层工作</w:t>
      </w:r>
      <w:r>
        <w:rPr>
          <w:rFonts w:hint="eastAsia" w:ascii="仿宋_GB2312" w:hAnsi="仿宋_GB2312" w:eastAsia="仿宋_GB2312" w:cs="仿宋_GB2312"/>
          <w:color w:val="auto"/>
          <w:sz w:val="32"/>
          <w:szCs w:val="32"/>
          <w:lang w:val="en-US" w:eastAsia="zh-CN"/>
        </w:rPr>
        <w:t>，目前，两家医院专家共计讲课12场，义诊8次，服务1215人次。在北京专家的指导下，2024年旗人民医院开展冠脉手术171例（其中冠脉造影127例，冠脉治疗44例），开展了远端桡动脉穿刺技术，填补了奈曼旗人民医院空白，将桡动脉穿刺成功率提高到95%以上。旗蒙医医院新增耳穴压豆、减肥诊室等特色门诊，实现了群众不出旗就能享受到北京知名专家的优质服务。</w:t>
      </w:r>
    </w:p>
    <w:p w14:paraId="5EF6B949">
      <w:pPr>
        <w:keepNext w:val="0"/>
        <w:keepLines w:val="0"/>
        <w:pageBreakBefore w:val="0"/>
        <w:widowControl w:val="0"/>
        <w:numPr>
          <w:ilvl w:val="0"/>
          <w:numId w:val="0"/>
        </w:numPr>
        <w:kinsoku/>
        <w:wordWrap/>
        <w:overflowPunct/>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3.协同推进“</w:t>
      </w:r>
      <w:r>
        <w:rPr>
          <w:rFonts w:hint="eastAsia" w:ascii="仿宋_GB2312" w:hAnsi="仿宋_GB2312" w:eastAsia="仿宋_GB2312" w:cs="仿宋_GB2312"/>
          <w:b/>
          <w:bCs/>
          <w:color w:val="auto"/>
          <w:sz w:val="32"/>
          <w:szCs w:val="32"/>
          <w:lang w:eastAsia="zh-CN"/>
        </w:rPr>
        <w:t>一体化</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交流合作。</w:t>
      </w:r>
      <w:r>
        <w:rPr>
          <w:rFonts w:hint="eastAsia" w:ascii="仿宋_GB2312" w:hAnsi="仿宋_GB2312" w:eastAsia="仿宋_GB2312" w:cs="仿宋_GB2312"/>
          <w:color w:val="auto"/>
          <w:sz w:val="32"/>
          <w:szCs w:val="32"/>
          <w:lang w:eastAsia="zh-CN"/>
        </w:rPr>
        <w:t>打造“医路智荟”名医品牌，与北京世纪坛医院、北京中医院医院、北京市通州区医疗机构签订了友好交流帮扶协议。年初以来，省外医疗合作知名专家来我旗出诊16人次1035天次，派出20名卫生专业技术人员赴区内外（重点北京通州区）进修学习，协调北京通州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名医疗专家到我旗进行</w:t>
      </w:r>
      <w:r>
        <w:rPr>
          <w:rFonts w:hint="eastAsia" w:ascii="仿宋_GB2312" w:hAnsi="仿宋_GB2312" w:eastAsia="仿宋_GB2312" w:cs="仿宋_GB2312"/>
          <w:color w:val="auto"/>
          <w:sz w:val="32"/>
          <w:szCs w:val="32"/>
          <w:lang w:val="en-US" w:eastAsia="zh-CN"/>
        </w:rPr>
        <w:t>1年期</w:t>
      </w:r>
      <w:r>
        <w:rPr>
          <w:rFonts w:hint="eastAsia" w:ascii="仿宋_GB2312" w:hAnsi="仿宋_GB2312" w:eastAsia="仿宋_GB2312" w:cs="仿宋_GB2312"/>
          <w:color w:val="auto"/>
          <w:sz w:val="32"/>
          <w:szCs w:val="32"/>
          <w:lang w:eastAsia="zh-CN"/>
        </w:rPr>
        <w:t>援奈支医工作。</w:t>
      </w:r>
    </w:p>
    <w:p w14:paraId="50300998">
      <w:pPr>
        <w:pStyle w:val="12"/>
        <w:keepNext w:val="0"/>
        <w:keepLines w:val="0"/>
        <w:pageBreakBefore w:val="0"/>
        <w:widowControl w:val="0"/>
        <w:kinsoku/>
        <w:wordWrap/>
        <w:overflowPunct/>
        <w:autoSpaceDE/>
        <w:autoSpaceDN/>
        <w:bidi w:val="0"/>
        <w:spacing w:line="560" w:lineRule="exact"/>
        <w:ind w:left="0" w:leftChars="0" w:firstLine="642" w:firstLineChars="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（二）着力提升医疗卫生服务水平</w:t>
      </w:r>
    </w:p>
    <w:p w14:paraId="41681FC3">
      <w:pPr>
        <w:keepNext w:val="0"/>
        <w:keepLines w:val="0"/>
        <w:pageBreakBefore w:val="0"/>
        <w:widowControl w:val="0"/>
        <w:kinsoku/>
        <w:wordWrap/>
        <w:overflowPunct/>
        <w:autoSpaceDE/>
        <w:autoSpaceDN/>
        <w:bidi w:val="0"/>
        <w:spacing w:line="560" w:lineRule="exact"/>
        <w:ind w:firstLine="643" w:firstLineChars="200"/>
        <w:textAlignment w:val="auto"/>
        <w:rPr>
          <w:rFonts w:hint="eastAsia" w:ascii="楷体_GB2312" w:hAnsi="楷体_GB2312" w:eastAsia="楷体_GB2312" w:cs="楷体_GB2312"/>
          <w:b/>
          <w:bCs/>
          <w:color w:val="FF0000"/>
          <w:sz w:val="32"/>
          <w:szCs w:val="32"/>
          <w:highlight w:val="yellow"/>
          <w:lang w:val="en-US" w:eastAsia="zh-CN"/>
        </w:rPr>
      </w:pPr>
      <w:r>
        <w:rPr>
          <w:rFonts w:hint="eastAsia" w:ascii="仿宋_GB2312" w:hAnsi="仿宋_GB2312" w:eastAsia="仿宋_GB2312" w:cs="仿宋_GB2312"/>
          <w:b/>
          <w:bCs/>
          <w:color w:val="auto"/>
          <w:sz w:val="32"/>
          <w:szCs w:val="32"/>
          <w:lang w:val="en-US" w:eastAsia="zh-CN"/>
        </w:rPr>
        <w:t>1.不断强化医疗卫生人才队伍建设。</w:t>
      </w:r>
      <w:r>
        <w:rPr>
          <w:rFonts w:hint="eastAsia" w:ascii="仿宋_GB2312" w:hAnsi="仿宋_GB2312" w:eastAsia="仿宋_GB2312" w:cs="仿宋_GB2312"/>
          <w:b w:val="0"/>
          <w:bCs w:val="0"/>
          <w:color w:val="auto"/>
          <w:sz w:val="32"/>
          <w:szCs w:val="32"/>
          <w:lang w:val="en-US" w:eastAsia="zh-CN"/>
        </w:rPr>
        <w:t>截至目前，通过公开招聘3名，人才回引专业技术人员2名。新镇、沙日浩来镇中心卫生院招录2名农村牧区医学订单定向生，安置退役士兵1名。完成</w:t>
      </w:r>
      <w:r>
        <w:rPr>
          <w:rFonts w:hint="eastAsia" w:ascii="仿宋" w:hAnsi="仿宋" w:eastAsia="仿宋" w:cs="仿宋"/>
          <w:color w:val="auto"/>
          <w:sz w:val="32"/>
          <w:szCs w:val="32"/>
          <w:lang w:val="en-US" w:eastAsia="zh-CN"/>
        </w:rPr>
        <w:t>全旗医师定期考核工作，符合条件的医师线上考试全部完成，本次共907名医师参加考核，其中902名医师考核合格，5名不合格（已让离岗培训）。</w:t>
      </w:r>
      <w:r>
        <w:rPr>
          <w:rFonts w:hint="eastAsia" w:ascii="仿宋_GB2312" w:hAnsi="仿宋_GB2312" w:eastAsia="仿宋_GB2312" w:cs="仿宋_GB2312"/>
          <w:b w:val="0"/>
          <w:bCs w:val="0"/>
          <w:color w:val="auto"/>
          <w:sz w:val="32"/>
          <w:szCs w:val="32"/>
          <w:lang w:val="en-US" w:eastAsia="zh-CN"/>
        </w:rPr>
        <w:t>与奈曼旗人力资源和就业服务中心联合开展了“奈曼旗2024年乡村医生推拿按摩培训班”，现已培训六期共计230余人。组织4名全科医生、13名卫生院骨干人员、34名乡村医生完成2024年基层卫生人才能力提升项目培训。目前，奈曼旗21家基层医疗卫生单位已有478名卫生专业技术人员充分利用日常中空闲时间参与在线培训，参与培训率78.23%。</w:t>
      </w:r>
      <w:r>
        <w:rPr>
          <w:rFonts w:hint="eastAsia" w:ascii="仿宋_GB2312" w:hAnsi="仿宋_GB2312" w:eastAsia="仿宋_GB2312" w:cs="仿宋_GB2312"/>
          <w:b w:val="0"/>
          <w:bCs w:val="0"/>
          <w:color w:val="auto"/>
          <w:sz w:val="32"/>
          <w:szCs w:val="32"/>
          <w:highlight w:val="none"/>
          <w:lang w:val="en-US" w:eastAsia="zh-CN"/>
        </w:rPr>
        <w:t>取得中医（蒙医）</w:t>
      </w:r>
      <w:r>
        <w:rPr>
          <w:rFonts w:hint="eastAsia" w:ascii="仿宋_GB2312" w:hAnsi="仿宋_GB2312" w:eastAsia="仿宋_GB2312" w:cs="仿宋_GB2312"/>
          <w:color w:val="auto"/>
          <w:sz w:val="32"/>
          <w:szCs w:val="32"/>
          <w:highlight w:val="none"/>
          <w:lang w:val="en-US" w:eastAsia="zh-CN" w:bidi="ar"/>
        </w:rPr>
        <w:t>确有专长医师资格6人，</w:t>
      </w:r>
      <w:r>
        <w:rPr>
          <w:rFonts w:hint="eastAsia" w:ascii="仿宋_GB2312" w:hAnsi="仿宋_GB2312" w:eastAsia="仿宋_GB2312" w:cs="仿宋_GB2312"/>
          <w:b w:val="0"/>
          <w:bCs w:val="0"/>
          <w:color w:val="auto"/>
          <w:sz w:val="32"/>
          <w:szCs w:val="32"/>
          <w:highlight w:val="none"/>
          <w:lang w:val="en-US" w:eastAsia="zh-CN"/>
        </w:rPr>
        <w:t>21名中医师承学员正在公证学习阶段。2024年评为市级名专家、名中医（蒙医）8人。</w:t>
      </w:r>
    </w:p>
    <w:p w14:paraId="2F5710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2.不断增强基层医疗服务能力。</w:t>
      </w:r>
      <w:r>
        <w:rPr>
          <w:rFonts w:hint="eastAsia" w:ascii="仿宋_GB2312" w:hAnsi="仿宋_GB2312" w:eastAsia="仿宋_GB2312" w:cs="仿宋_GB2312"/>
          <w:color w:val="auto"/>
          <w:spacing w:val="0"/>
          <w:sz w:val="32"/>
          <w:szCs w:val="32"/>
        </w:rPr>
        <w:t>深入开展优质服务基层行</w:t>
      </w:r>
      <w:r>
        <w:rPr>
          <w:rFonts w:hint="eastAsia" w:ascii="仿宋_GB2312" w:hAnsi="仿宋_GB2312" w:eastAsia="仿宋_GB2312" w:cs="仿宋_GB2312"/>
          <w:color w:val="auto"/>
          <w:spacing w:val="0"/>
          <w:sz w:val="32"/>
          <w:szCs w:val="32"/>
          <w:lang w:eastAsia="zh-CN"/>
        </w:rPr>
        <w:t>达标</w:t>
      </w:r>
      <w:r>
        <w:rPr>
          <w:rFonts w:hint="eastAsia" w:ascii="仿宋_GB2312" w:hAnsi="仿宋_GB2312" w:eastAsia="仿宋_GB2312" w:cs="仿宋_GB2312"/>
          <w:color w:val="auto"/>
          <w:spacing w:val="0"/>
          <w:sz w:val="32"/>
          <w:szCs w:val="32"/>
        </w:rPr>
        <w:t>活动</w:t>
      </w:r>
      <w:r>
        <w:rPr>
          <w:rFonts w:hint="eastAsia" w:ascii="仿宋_GB2312" w:hAnsi="仿宋_GB2312" w:eastAsia="仿宋_GB2312" w:cs="仿宋_GB2312"/>
          <w:color w:val="auto"/>
          <w:spacing w:val="0"/>
          <w:sz w:val="32"/>
          <w:szCs w:val="32"/>
          <w:lang w:eastAsia="zh-CN"/>
        </w:rPr>
        <w:t>。年内全部达标，</w:t>
      </w:r>
      <w:r>
        <w:rPr>
          <w:rFonts w:hint="eastAsia" w:ascii="仿宋_GB2312" w:hAnsi="仿宋_GB2312" w:eastAsia="仿宋_GB2312" w:cs="仿宋_GB2312"/>
          <w:color w:val="auto"/>
          <w:spacing w:val="0"/>
          <w:sz w:val="32"/>
          <w:szCs w:val="32"/>
          <w:lang w:val="en-US" w:eastAsia="zh-CN"/>
        </w:rPr>
        <w:t>其中5家卫生院、1家社区卫生服务中心（大镇社区卫生服务中心）</w:t>
      </w:r>
      <w:r>
        <w:rPr>
          <w:rFonts w:hint="eastAsia" w:ascii="仿宋_GB2312" w:eastAsia="仿宋_GB2312"/>
          <w:color w:val="auto"/>
          <w:sz w:val="32"/>
          <w:szCs w:val="32"/>
        </w:rPr>
        <w:t>达到国家推荐标准</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16家达到国家基本（或合格）标准，100%完成建设任务。</w:t>
      </w:r>
      <w:r>
        <w:rPr>
          <w:rFonts w:hint="eastAsia" w:ascii="仿宋_GB2312" w:eastAsia="仿宋_GB2312"/>
          <w:color w:val="auto"/>
          <w:sz w:val="32"/>
          <w:szCs w:val="32"/>
        </w:rPr>
        <w:t>积极争取</w:t>
      </w:r>
      <w:r>
        <w:rPr>
          <w:rFonts w:hint="eastAsia" w:ascii="仿宋_GB2312" w:hAnsi="仿宋_GB2312" w:eastAsia="仿宋_GB2312" w:cs="仿宋_GB2312"/>
          <w:color w:val="auto"/>
          <w:spacing w:val="0"/>
          <w:sz w:val="32"/>
          <w:szCs w:val="32"/>
          <w:lang w:eastAsia="zh-CN"/>
        </w:rPr>
        <w:t>八仙筒镇、青龙山镇两家中心卫生院</w:t>
      </w:r>
      <w:r>
        <w:rPr>
          <w:rFonts w:hint="eastAsia" w:ascii="仿宋_GB2312" w:eastAsia="仿宋_GB2312"/>
          <w:color w:val="auto"/>
          <w:sz w:val="32"/>
          <w:szCs w:val="32"/>
        </w:rPr>
        <w:t>县域医疗次中心建设项目</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pacing w:val="0"/>
          <w:sz w:val="32"/>
          <w:szCs w:val="32"/>
          <w:lang w:eastAsia="zh-CN"/>
        </w:rPr>
        <w:t>推进治安镇中心卫生院和大镇社区卫生服务中心</w:t>
      </w:r>
      <w:r>
        <w:rPr>
          <w:rFonts w:hint="eastAsia" w:ascii="仿宋_GB2312" w:hAnsi="仿宋_GB2312" w:eastAsia="仿宋_GB2312" w:cs="仿宋_GB2312"/>
          <w:color w:val="auto"/>
          <w:spacing w:val="0"/>
          <w:sz w:val="32"/>
          <w:szCs w:val="32"/>
          <w:lang w:val="en-US" w:eastAsia="zh-CN"/>
        </w:rPr>
        <w:t>2家医疗机构</w:t>
      </w:r>
      <w:r>
        <w:rPr>
          <w:rFonts w:hint="eastAsia" w:ascii="仿宋_GB2312" w:hAnsi="仿宋_GB2312" w:eastAsia="仿宋_GB2312" w:cs="仿宋_GB2312"/>
          <w:color w:val="auto"/>
          <w:spacing w:val="0"/>
          <w:sz w:val="32"/>
          <w:szCs w:val="32"/>
        </w:rPr>
        <w:t>社区医院建设。</w:t>
      </w:r>
      <w:r>
        <w:rPr>
          <w:rFonts w:hint="eastAsia" w:ascii="仿宋_GB2312" w:hAnsi="仿宋_GB2312" w:eastAsia="仿宋_GB2312" w:cs="仿宋_GB2312"/>
          <w:color w:val="auto"/>
          <w:sz w:val="32"/>
          <w:szCs w:val="32"/>
          <w:lang w:val="en-US" w:eastAsia="zh-CN"/>
        </w:rPr>
        <w:t>印发《奈曼旗基层医疗卫生机构特色科室建设实施方案》，</w:t>
      </w:r>
      <w:r>
        <w:rPr>
          <w:rFonts w:hint="eastAsia" w:ascii="仿宋_GB2312" w:hAnsi="仿宋_GB2312" w:eastAsia="仿宋_GB2312" w:cs="仿宋_GB2312"/>
          <w:color w:val="auto"/>
          <w:sz w:val="32"/>
          <w:szCs w:val="32"/>
          <w:lang w:val="en-US" w:eastAsia="zh-CN"/>
        </w:rPr>
        <w:t>组织各基层医疗卫生机构用活现有卫生资源、发挥各自特色优势。</w:t>
      </w:r>
      <w:r>
        <w:rPr>
          <w:rFonts w:hint="eastAsia" w:ascii="仿宋_GB2312" w:eastAsia="仿宋_GB2312"/>
          <w:color w:val="auto"/>
          <w:sz w:val="32"/>
          <w:szCs w:val="32"/>
        </w:rPr>
        <w:t>支持八仙筒中心卫生院、青龙山镇中心卫生院业务小综合建设，沙日好来镇中心卫生院口腔专科建设，新镇中心卫生院骨科、普外专科建设，治安</w:t>
      </w:r>
      <w:r>
        <w:rPr>
          <w:rFonts w:hint="eastAsia" w:ascii="仿宋_GB2312" w:eastAsia="仿宋_GB2312"/>
          <w:color w:val="auto"/>
          <w:sz w:val="32"/>
          <w:szCs w:val="32"/>
          <w:lang w:eastAsia="zh-CN"/>
        </w:rPr>
        <w:t>镇</w:t>
      </w:r>
      <w:r>
        <w:rPr>
          <w:rFonts w:hint="eastAsia" w:ascii="仿宋_GB2312" w:eastAsia="仿宋_GB2312"/>
          <w:color w:val="auto"/>
          <w:sz w:val="32"/>
          <w:szCs w:val="32"/>
        </w:rPr>
        <w:t>中心卫生院糖尿病专科建设。</w:t>
      </w:r>
    </w:p>
    <w:p w14:paraId="3C4D6A2A">
      <w:pPr>
        <w:keepNext w:val="0"/>
        <w:keepLines w:val="0"/>
        <w:pageBreakBefore w:val="0"/>
        <w:widowControl w:val="0"/>
        <w:kinsoku/>
        <w:wordWrap/>
        <w:overflowPunct/>
        <w:autoSpaceDE/>
        <w:autoSpaceDN/>
        <w:bidi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3.不断改善群众就医体验。</w:t>
      </w:r>
      <w:r>
        <w:rPr>
          <w:rFonts w:hint="eastAsia" w:ascii="仿宋_GB2312" w:hAnsi="仿宋_GB2312" w:eastAsia="仿宋_GB2312" w:cs="仿宋_GB2312"/>
          <w:b w:val="0"/>
          <w:bCs w:val="0"/>
          <w:color w:val="auto"/>
          <w:sz w:val="32"/>
          <w:szCs w:val="32"/>
          <w:lang w:val="en-US" w:eastAsia="zh-CN"/>
        </w:rPr>
        <w:t>二级医院建设一站式服务中心，优化诊室布局，设立便民服务设施，多种业务集中统一办理。</w:t>
      </w:r>
      <w:r>
        <w:rPr>
          <w:rFonts w:hint="eastAsia" w:ascii="仿宋_GB2312" w:hAnsi="仿宋_GB2312" w:eastAsia="仿宋_GB2312" w:cs="仿宋_GB2312"/>
          <w:i w:val="0"/>
          <w:iCs w:val="0"/>
          <w:caps w:val="0"/>
          <w:color w:val="auto"/>
          <w:spacing w:val="9"/>
          <w:sz w:val="32"/>
          <w:szCs w:val="32"/>
          <w:shd w:val="clear" w:fill="FFFFFF"/>
          <w:vertAlign w:val="baseline"/>
          <w:lang w:val="en-US" w:eastAsia="zh-CN"/>
        </w:rPr>
        <w:t>推行以整理、整顿、规范、清洁、素养、安全为主要内容的“6S”管理，率先在全旗各医疗卫生机构实施“6S”管理。结合</w:t>
      </w:r>
      <w:r>
        <w:rPr>
          <w:rFonts w:hint="eastAsia" w:ascii="仿宋_GB2312" w:hAnsi="仿宋_GB2312" w:eastAsia="仿宋_GB2312" w:cs="仿宋_GB2312"/>
          <w:color w:val="auto"/>
          <w:spacing w:val="0"/>
          <w:sz w:val="32"/>
          <w:szCs w:val="32"/>
        </w:rPr>
        <w:t>深入开展“改善就医感受提升患者体验”和“假如我是一名患者” 主题活动，</w:t>
      </w:r>
      <w:r>
        <w:rPr>
          <w:rFonts w:hint="eastAsia" w:ascii="仿宋_GB2312" w:hAnsi="仿宋_GB2312" w:eastAsia="仿宋_GB2312" w:cs="仿宋_GB2312"/>
          <w:color w:val="auto"/>
          <w:spacing w:val="0"/>
          <w:sz w:val="32"/>
          <w:szCs w:val="32"/>
          <w:lang w:eastAsia="zh-CN"/>
        </w:rPr>
        <w:t>制定出台了</w:t>
      </w:r>
      <w:r>
        <w:rPr>
          <w:rFonts w:hint="eastAsia" w:ascii="仿宋_GB2312" w:hAnsi="仿宋_GB2312" w:eastAsia="仿宋_GB2312" w:cs="仿宋_GB2312"/>
          <w:color w:val="auto"/>
          <w:sz w:val="32"/>
          <w:szCs w:val="32"/>
          <w:lang w:val="en-US" w:eastAsia="zh-CN"/>
        </w:rPr>
        <w:t>《开展医德医风建设提高群众就医满意度三年行动方案（2024-2026年）》。通过</w:t>
      </w:r>
      <w:r>
        <w:rPr>
          <w:rFonts w:hint="eastAsia" w:ascii="仿宋_GB2312" w:hAnsi="仿宋_GB2312" w:eastAsia="仿宋_GB2312" w:cs="仿宋_GB2312"/>
          <w:color w:val="auto"/>
          <w:spacing w:val="0"/>
          <w:sz w:val="32"/>
          <w:szCs w:val="32"/>
        </w:rPr>
        <w:t>加强医院文化建设</w:t>
      </w:r>
      <w:r>
        <w:rPr>
          <w:rFonts w:hint="eastAsia" w:ascii="仿宋_GB2312" w:hAnsi="仿宋_GB2312" w:eastAsia="仿宋_GB2312" w:cs="仿宋_GB2312"/>
          <w:color w:val="auto"/>
          <w:spacing w:val="0"/>
          <w:sz w:val="32"/>
          <w:szCs w:val="32"/>
          <w:lang w:eastAsia="zh-CN"/>
        </w:rPr>
        <w:t>、医德医风建设，</w:t>
      </w:r>
      <w:r>
        <w:rPr>
          <w:rFonts w:hint="eastAsia" w:ascii="仿宋_GB2312" w:hAnsi="仿宋_GB2312" w:eastAsia="仿宋_GB2312" w:cs="仿宋_GB2312"/>
          <w:color w:val="auto"/>
          <w:spacing w:val="0"/>
          <w:sz w:val="32"/>
          <w:szCs w:val="32"/>
        </w:rPr>
        <w:t>增进医患沟通，改善就医环境，优化就医流程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落实好便民惠民服务举措</w:t>
      </w:r>
      <w:r>
        <w:rPr>
          <w:rFonts w:hint="eastAsia" w:ascii="仿宋_GB2312" w:hAnsi="仿宋_GB2312" w:eastAsia="仿宋_GB2312" w:cs="仿宋_GB2312"/>
          <w:color w:val="auto"/>
          <w:spacing w:val="0"/>
          <w:sz w:val="32"/>
          <w:szCs w:val="32"/>
          <w:lang w:eastAsia="zh-CN"/>
        </w:rPr>
        <w:t>，不断改善群众就医体验，群众满意度明显提高。经统计，</w:t>
      </w:r>
      <w:r>
        <w:rPr>
          <w:rFonts w:hint="eastAsia" w:ascii="仿宋_GB2312" w:hAnsi="仿宋_GB2312" w:eastAsia="仿宋_GB2312" w:cs="仿宋_GB2312"/>
          <w:color w:val="auto"/>
          <w:sz w:val="32"/>
          <w:szCs w:val="32"/>
        </w:rPr>
        <w:t>2023年度门诊患者满意度</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93.4%，住院患者满意度</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95.8%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2024</w:t>
      </w:r>
      <w:r>
        <w:rPr>
          <w:rFonts w:hint="eastAsia" w:ascii="仿宋_GB2312" w:hAnsi="仿宋_GB2312" w:eastAsia="仿宋_GB2312" w:cs="仿宋_GB2312"/>
          <w:color w:val="auto"/>
          <w:sz w:val="32"/>
          <w:szCs w:val="32"/>
          <w:lang w:eastAsia="zh-CN"/>
        </w:rPr>
        <w:t>年度</w:t>
      </w:r>
      <w:bookmarkStart w:id="0" w:name="_GoBack"/>
      <w:bookmarkEnd w:id="0"/>
      <w:r>
        <w:rPr>
          <w:rFonts w:hint="eastAsia" w:ascii="仿宋_GB2312" w:hAnsi="仿宋_GB2312" w:eastAsia="仿宋_GB2312" w:cs="仿宋_GB2312"/>
          <w:color w:val="auto"/>
          <w:sz w:val="32"/>
          <w:szCs w:val="32"/>
        </w:rPr>
        <w:t>门诊患者满意度</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94.36%，住院患者满意度</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97.56%</w:t>
      </w:r>
      <w:r>
        <w:rPr>
          <w:rFonts w:hint="eastAsia" w:ascii="仿宋_GB2312" w:hAnsi="仿宋_GB2312" w:eastAsia="仿宋_GB2312" w:cs="仿宋_GB2312"/>
          <w:color w:val="auto"/>
          <w:sz w:val="32"/>
          <w:szCs w:val="32"/>
          <w:lang w:val="en-US" w:eastAsia="zh-CN"/>
        </w:rPr>
        <w:t>。</w:t>
      </w:r>
    </w:p>
    <w:p w14:paraId="504C66C2">
      <w:pPr>
        <w:pStyle w:val="12"/>
        <w:keepNext w:val="0"/>
        <w:keepLines w:val="0"/>
        <w:pageBreakBefore w:val="0"/>
        <w:widowControl w:val="0"/>
        <w:kinsoku/>
        <w:wordWrap/>
        <w:overflowPunct/>
        <w:autoSpaceDE/>
        <w:autoSpaceDN/>
        <w:bidi w:val="0"/>
        <w:spacing w:line="560" w:lineRule="exact"/>
        <w:ind w:left="0" w:leftChars="0" w:firstLine="642" w:firstLineChars="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（三）强化公共卫生服务工作</w:t>
      </w:r>
    </w:p>
    <w:p w14:paraId="625722E3">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1.持续提升重大传染病防治能力。</w:t>
      </w:r>
      <w:r>
        <w:rPr>
          <w:rFonts w:hint="eastAsia" w:ascii="仿宋_GB2312" w:hAnsi="仿宋_GB2312" w:eastAsia="仿宋_GB2312" w:cs="仿宋_GB2312"/>
          <w:b w:val="0"/>
          <w:bCs w:val="0"/>
          <w:color w:val="auto"/>
          <w:spacing w:val="0"/>
          <w:sz w:val="32"/>
          <w:szCs w:val="32"/>
        </w:rPr>
        <w:t>贯彻落实推动疾控事业高质量发展的指导意见，</w:t>
      </w:r>
      <w:r>
        <w:rPr>
          <w:rFonts w:hint="eastAsia" w:ascii="仿宋_GB2312" w:hAnsi="仿宋_GB2312" w:eastAsia="仿宋_GB2312" w:cs="仿宋_GB2312"/>
          <w:b w:val="0"/>
          <w:bCs w:val="0"/>
          <w:color w:val="auto"/>
          <w:spacing w:val="0"/>
          <w:sz w:val="32"/>
          <w:szCs w:val="32"/>
          <w:lang w:val="en-US" w:eastAsia="zh-CN"/>
        </w:rPr>
        <w:t>推动构建协同高效、功能完善的疾病预防控制体系。</w:t>
      </w:r>
      <w:r>
        <w:rPr>
          <w:rFonts w:hint="eastAsia" w:ascii="仿宋_GB2312" w:hAnsi="仿宋_GB2312" w:eastAsia="仿宋_GB2312" w:cs="仿宋_GB2312"/>
          <w:b w:val="0"/>
          <w:bCs w:val="0"/>
          <w:color w:val="auto"/>
          <w:sz w:val="32"/>
          <w:szCs w:val="32"/>
          <w:lang w:val="en-US" w:eastAsia="zh-CN"/>
        </w:rPr>
        <w:t>完成了对</w:t>
      </w:r>
      <w:r>
        <w:rPr>
          <w:rFonts w:hint="eastAsia" w:ascii="仿宋_GB2312" w:hAnsi="仿宋_GB2312" w:eastAsia="仿宋_GB2312" w:cs="仿宋_GB2312"/>
          <w:b w:val="0"/>
          <w:bCs w:val="0"/>
          <w:color w:val="auto"/>
          <w:spacing w:val="0"/>
          <w:sz w:val="32"/>
          <w:szCs w:val="32"/>
          <w:lang w:eastAsia="zh-CN"/>
        </w:rPr>
        <w:t>旗</w:t>
      </w:r>
      <w:r>
        <w:rPr>
          <w:rFonts w:hint="eastAsia" w:ascii="仿宋_GB2312" w:hAnsi="仿宋_GB2312" w:eastAsia="仿宋_GB2312" w:cs="仿宋_GB2312"/>
          <w:b w:val="0"/>
          <w:bCs w:val="0"/>
          <w:color w:val="auto"/>
          <w:spacing w:val="0"/>
          <w:sz w:val="32"/>
          <w:szCs w:val="32"/>
        </w:rPr>
        <w:t>疾控中心</w:t>
      </w:r>
      <w:r>
        <w:rPr>
          <w:rFonts w:hint="eastAsia" w:ascii="仿宋_GB2312" w:hAnsi="仿宋_GB2312" w:eastAsia="仿宋_GB2312" w:cs="仿宋_GB2312"/>
          <w:b w:val="0"/>
          <w:bCs w:val="0"/>
          <w:color w:val="auto"/>
          <w:spacing w:val="0"/>
          <w:sz w:val="32"/>
          <w:szCs w:val="32"/>
          <w:lang w:eastAsia="zh-CN"/>
        </w:rPr>
        <w:t>和卫生健康综合行政执法大队</w:t>
      </w:r>
      <w:r>
        <w:rPr>
          <w:rFonts w:hint="eastAsia" w:ascii="仿宋_GB2312" w:hAnsi="仿宋_GB2312" w:eastAsia="仿宋_GB2312" w:cs="仿宋_GB2312"/>
          <w:b w:val="0"/>
          <w:bCs w:val="0"/>
          <w:color w:val="auto"/>
          <w:spacing w:val="0"/>
          <w:sz w:val="32"/>
          <w:szCs w:val="32"/>
        </w:rPr>
        <w:t>机构整合重组</w:t>
      </w:r>
      <w:r>
        <w:rPr>
          <w:rFonts w:hint="eastAsia" w:ascii="仿宋_GB2312" w:hAnsi="仿宋_GB2312" w:eastAsia="仿宋_GB2312" w:cs="仿宋_GB2312"/>
          <w:b w:val="0"/>
          <w:bCs w:val="0"/>
          <w:color w:val="auto"/>
          <w:spacing w:val="0"/>
          <w:sz w:val="32"/>
          <w:szCs w:val="32"/>
          <w:lang w:val="en-US" w:eastAsia="zh-CN"/>
        </w:rPr>
        <w:t>。加强传染病监测预警，积极采取防控、干预等措施，</w:t>
      </w:r>
      <w:r>
        <w:rPr>
          <w:rFonts w:hint="eastAsia" w:ascii="仿宋_GB2312" w:hAnsi="仿宋_GB2312" w:eastAsia="仿宋_GB2312" w:cs="仿宋_GB2312"/>
          <w:b w:val="0"/>
          <w:bCs w:val="0"/>
          <w:color w:val="auto"/>
          <w:sz w:val="32"/>
          <w:szCs w:val="32"/>
          <w:lang w:eastAsia="zh-CN"/>
        </w:rPr>
        <w:t>目前，</w:t>
      </w:r>
      <w:r>
        <w:rPr>
          <w:rFonts w:hint="eastAsia" w:ascii="仿宋_GB2312" w:hAnsi="仿宋_GB2312" w:eastAsia="仿宋_GB2312" w:cs="仿宋_GB2312"/>
          <w:b w:val="0"/>
          <w:bCs w:val="0"/>
          <w:color w:val="auto"/>
          <w:sz w:val="32"/>
          <w:szCs w:val="32"/>
          <w:u w:val="none"/>
          <w:lang w:val="en-US" w:eastAsia="zh-CN"/>
        </w:rPr>
        <w:t>全旗共发生乙、丙类传染病</w:t>
      </w:r>
      <w:r>
        <w:rPr>
          <w:rFonts w:hint="eastAsia" w:ascii="仿宋" w:hAnsi="仿宋" w:eastAsia="仿宋"/>
          <w:color w:val="auto"/>
          <w:sz w:val="32"/>
          <w:szCs w:val="32"/>
          <w:lang w:val="en-US" w:eastAsia="zh-CN"/>
        </w:rPr>
        <w:t>1718</w:t>
      </w:r>
      <w:r>
        <w:rPr>
          <w:rFonts w:hint="eastAsia" w:ascii="仿宋_GB2312" w:hAnsi="仿宋_GB2312" w:eastAsia="仿宋_GB2312" w:cs="仿宋_GB2312"/>
          <w:b w:val="0"/>
          <w:bCs w:val="0"/>
          <w:color w:val="auto"/>
          <w:sz w:val="32"/>
          <w:szCs w:val="32"/>
          <w:u w:val="none"/>
          <w:lang w:val="en-US" w:eastAsia="zh-CN"/>
        </w:rPr>
        <w:t>例，总发病率为</w:t>
      </w:r>
      <w:r>
        <w:rPr>
          <w:rFonts w:hint="eastAsia" w:ascii="仿宋" w:hAnsi="仿宋" w:eastAsia="仿宋"/>
          <w:color w:val="auto"/>
          <w:sz w:val="32"/>
          <w:szCs w:val="32"/>
          <w:lang w:val="en-US" w:eastAsia="zh-CN"/>
        </w:rPr>
        <w:t>463.31</w:t>
      </w:r>
      <w:r>
        <w:rPr>
          <w:rFonts w:hint="eastAsia" w:ascii="仿宋" w:hAnsi="仿宋" w:eastAsia="仿宋"/>
          <w:color w:val="auto"/>
          <w:sz w:val="32"/>
          <w:szCs w:val="32"/>
        </w:rPr>
        <w:t>/10万</w:t>
      </w:r>
      <w:r>
        <w:rPr>
          <w:rFonts w:hint="eastAsia" w:ascii="仿宋_GB2312" w:hAnsi="仿宋_GB2312" w:eastAsia="仿宋_GB2312" w:cs="仿宋_GB2312"/>
          <w:b w:val="0"/>
          <w:bCs w:val="0"/>
          <w:color w:val="auto"/>
          <w:sz w:val="32"/>
          <w:szCs w:val="32"/>
          <w:u w:val="none"/>
          <w:lang w:val="en-US" w:eastAsia="zh-CN"/>
        </w:rPr>
        <w:t>万，与去年同期相比下降</w:t>
      </w:r>
      <w:r>
        <w:rPr>
          <w:rFonts w:hint="eastAsia" w:ascii="仿宋" w:hAnsi="仿宋" w:eastAsia="仿宋"/>
          <w:color w:val="auto"/>
          <w:sz w:val="32"/>
          <w:szCs w:val="32"/>
          <w:lang w:val="en-US" w:eastAsia="zh-CN"/>
        </w:rPr>
        <w:t>30.58</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highlight w:val="none"/>
          <w:lang w:val="en-US" w:eastAsia="zh-CN"/>
        </w:rPr>
        <w:t>共诊断布病患者440</w:t>
      </w:r>
      <w:r>
        <w:rPr>
          <w:rFonts w:hint="eastAsia" w:ascii="仿宋_GB2312" w:hAnsi="仿宋_GB2312" w:eastAsia="仿宋_GB2312" w:cs="仿宋_GB2312"/>
          <w:b w:val="0"/>
          <w:bCs w:val="0"/>
          <w:color w:val="auto"/>
          <w:sz w:val="32"/>
          <w:szCs w:val="32"/>
          <w:highlight w:val="none"/>
          <w:lang w:val="en-US" w:eastAsia="zh-CN"/>
        </w:rPr>
        <w:t>例，与去年同期相比下降了21.84%</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积极</w:t>
      </w:r>
      <w:r>
        <w:rPr>
          <w:rFonts w:hint="eastAsia" w:ascii="仿宋_GB2312" w:hAnsi="仿宋_GB2312" w:eastAsia="仿宋_GB2312" w:cs="仿宋_GB2312"/>
          <w:b w:val="0"/>
          <w:bCs w:val="0"/>
          <w:color w:val="auto"/>
          <w:sz w:val="32"/>
          <w:szCs w:val="32"/>
          <w:lang w:eastAsia="zh-CN"/>
        </w:rPr>
        <w:t>创建自治区“无结核社区”，截止</w:t>
      </w:r>
      <w:r>
        <w:rPr>
          <w:rFonts w:hint="eastAsia" w:ascii="仿宋_GB2312" w:hAnsi="仿宋_GB2312" w:eastAsia="仿宋_GB2312" w:cs="仿宋_GB2312"/>
          <w:b w:val="0"/>
          <w:bCs w:val="0"/>
          <w:color w:val="auto"/>
          <w:sz w:val="32"/>
          <w:szCs w:val="32"/>
          <w:lang w:val="en-US" w:eastAsia="zh-CN"/>
        </w:rPr>
        <w:t>9月底</w:t>
      </w:r>
      <w:r>
        <w:rPr>
          <w:rFonts w:hint="eastAsia" w:ascii="仿宋_GB2312" w:hAnsi="仿宋_GB2312" w:eastAsia="仿宋_GB2312" w:cs="仿宋_GB2312"/>
          <w:b w:val="0"/>
          <w:bCs w:val="0"/>
          <w:color w:val="auto"/>
          <w:sz w:val="32"/>
          <w:szCs w:val="32"/>
          <w:lang w:eastAsia="zh-CN"/>
        </w:rPr>
        <w:t>全旗结核病人系统管理率达100%、成功治疗率达</w:t>
      </w:r>
      <w:r>
        <w:rPr>
          <w:rFonts w:hint="eastAsia" w:ascii="仿宋" w:hAnsi="仿宋" w:eastAsia="仿宋" w:cs="仿宋"/>
          <w:color w:val="auto"/>
          <w:sz w:val="32"/>
          <w:szCs w:val="32"/>
        </w:rPr>
        <w:t>9</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_GB2312" w:hAnsi="仿宋_GB2312" w:eastAsia="仿宋_GB2312" w:cs="仿宋_GB2312"/>
          <w:b w:val="0"/>
          <w:bCs w:val="0"/>
          <w:color w:val="auto"/>
          <w:sz w:val="32"/>
          <w:szCs w:val="32"/>
          <w:lang w:eastAsia="zh-CN"/>
        </w:rPr>
        <w:t>。旗人民医院（丙肝定点治疗单位）新增丙肝核酸筛查项目，丙肝患者规范诊疗治疗能力得到提升。</w:t>
      </w:r>
      <w:r>
        <w:rPr>
          <w:rFonts w:hint="eastAsia" w:ascii="仿宋_GB2312" w:hAnsi="仿宋_GB2312" w:eastAsia="仿宋_GB2312" w:cs="仿宋_GB2312"/>
          <w:b w:val="0"/>
          <w:bCs w:val="0"/>
          <w:color w:val="auto"/>
          <w:sz w:val="32"/>
          <w:szCs w:val="32"/>
          <w:lang w:val="en-US" w:eastAsia="zh-CN"/>
        </w:rPr>
        <w:t>规范开展鼠疫监测，截至目前媒介蚤类检验51组113匹</w:t>
      </w:r>
      <w:r>
        <w:rPr>
          <w:rFonts w:hint="eastAsia" w:ascii="仿宋_GB2312" w:hAnsi="仿宋_GB2312" w:eastAsia="仿宋_GB2312" w:cs="仿宋_GB2312"/>
          <w:b w:val="0"/>
          <w:bCs w:val="0"/>
          <w:color w:val="auto"/>
          <w:sz w:val="32"/>
          <w:szCs w:val="32"/>
          <w:lang w:val="en-US" w:eastAsia="zh-CN"/>
        </w:rPr>
        <w:t>，全部为阴性；核酸检测25只达乌尔黄鼠，工作指标完成率125%</w:t>
      </w:r>
      <w:r>
        <w:rPr>
          <w:rFonts w:hint="eastAsia" w:ascii="仿宋_GB2312" w:hAnsi="仿宋_GB2312" w:eastAsia="仿宋_GB2312" w:cs="仿宋_GB2312"/>
          <w:b w:val="0"/>
          <w:bCs w:val="0"/>
          <w:color w:val="auto"/>
          <w:sz w:val="32"/>
          <w:szCs w:val="32"/>
          <w:lang w:val="en-US" w:eastAsia="zh-CN"/>
        </w:rPr>
        <w:t>；血清学检测共检验鼠类216只，工作指标完成率120%；生态学监测共观察雌黄鼠20只，工作指标完成率100%；达乌尔黄鼠鼠龄鉴定60只，工作指标完成率100%。</w:t>
      </w:r>
    </w:p>
    <w:p w14:paraId="4F2112C4">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val="0"/>
          <w:bCs w:val="0"/>
          <w:color w:val="auto"/>
          <w:spacing w:val="0"/>
          <w:sz w:val="32"/>
          <w:szCs w:val="32"/>
          <w:highlight w:val="none"/>
        </w:rPr>
      </w:pPr>
      <w:r>
        <w:rPr>
          <w:rFonts w:hint="eastAsia" w:ascii="仿宋_GB2312" w:hAnsi="仿宋_GB2312" w:eastAsia="仿宋_GB2312" w:cs="仿宋_GB2312"/>
          <w:b/>
          <w:bCs/>
          <w:color w:val="auto"/>
          <w:sz w:val="32"/>
          <w:szCs w:val="32"/>
          <w:lang w:val="en-US" w:eastAsia="zh-CN"/>
        </w:rPr>
        <w:t>2.积极</w:t>
      </w:r>
      <w:r>
        <w:rPr>
          <w:rFonts w:hint="eastAsia" w:ascii="仿宋_GB2312" w:hAnsi="仿宋_GB2312" w:eastAsia="仿宋_GB2312" w:cs="仿宋_GB2312"/>
          <w:b/>
          <w:bCs/>
          <w:color w:val="auto"/>
          <w:spacing w:val="0"/>
          <w:sz w:val="32"/>
          <w:szCs w:val="32"/>
          <w:highlight w:val="none"/>
        </w:rPr>
        <w:t>开展卫生监督执法工作</w:t>
      </w:r>
      <w:r>
        <w:rPr>
          <w:rFonts w:hint="eastAsia" w:ascii="仿宋_GB2312" w:hAnsi="仿宋_GB2312" w:eastAsia="仿宋_GB2312" w:cs="仿宋_GB2312"/>
          <w:b/>
          <w:bCs/>
          <w:color w:val="auto"/>
          <w:spacing w:val="0"/>
          <w:sz w:val="32"/>
          <w:szCs w:val="32"/>
          <w:highlight w:val="none"/>
          <w:lang w:eastAsia="zh-CN"/>
        </w:rPr>
        <w:t>。</w:t>
      </w:r>
      <w:r>
        <w:rPr>
          <w:rFonts w:hint="eastAsia" w:ascii="仿宋_GB2312" w:hAnsi="仿宋_GB2312" w:eastAsia="仿宋_GB2312" w:cs="仿宋_GB2312"/>
          <w:b w:val="0"/>
          <w:bCs w:val="0"/>
          <w:color w:val="auto"/>
          <w:spacing w:val="0"/>
          <w:sz w:val="32"/>
          <w:szCs w:val="32"/>
          <w:highlight w:val="none"/>
        </w:rPr>
        <w:t>完成了旗级职业健康达人评选活动，共评选出旗级职业健康达人5人。积极开展公共场所卫生、生活饮用水卫生、学校卫生、放射卫生和传染病防治监督等监督检查。截至目前，共完成学校卫生监督 42家。职业卫生监督 87 家（国家双随机71家，发改平台16家），放射卫生监督15 家（国家双随机4家，发改平台11家）。公共场所监督检查615家、生活饮用水监督检查4家，完成公共场所投诉举报3起，行政处罚1例。加强对医疗机构依法执业的监管，今年查处诊疗活动中未严格遵守医疗卫生法律法规、规章和诊疗相关规范、常规案4件，非法行医案件3件，医疗废物处理不规范案件1件，乡村医生跨行政区域开展诊疗活动案件 1件。</w:t>
      </w:r>
    </w:p>
    <w:p w14:paraId="1B19798E">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3.深入推动医防融合发展。</w:t>
      </w:r>
      <w:r>
        <w:rPr>
          <w:rFonts w:hint="eastAsia" w:ascii="仿宋_GB2312" w:hAnsi="仿宋_GB2312" w:eastAsia="仿宋_GB2312" w:cs="仿宋_GB2312"/>
          <w:b w:val="0"/>
          <w:bCs w:val="0"/>
          <w:color w:val="auto"/>
          <w:sz w:val="32"/>
          <w:szCs w:val="32"/>
          <w:lang w:val="en-US" w:eastAsia="zh-CN"/>
        </w:rPr>
        <w:t>规范开展免疫规划工作，预防接种门诊数字化水平不断提高。截至目前，除沙日浩来、黄花塔拉、新镇卫生院外已全部使用签核系统。全旗21家预防接种门诊，其中共建智慧化预防接种门诊1家，数字化预防接种门诊10家，标准化预防接种门诊7家，标准化2（面积达标）预防接种门诊3家，以上预防接种单位均已达到标准化门诊水平，全旗已验收完成标准化门诊建设85.71%（18/21）。积极开展适龄儿童的预防接种工作，截至目前，全旗免疫规划疫苗接种率为</w:t>
      </w:r>
      <w:r>
        <w:rPr>
          <w:rFonts w:hint="eastAsia" w:ascii="仿宋" w:hAnsi="仿宋" w:eastAsia="仿宋" w:cs="仿宋"/>
          <w:color w:val="auto"/>
          <w:sz w:val="30"/>
          <w:szCs w:val="30"/>
          <w:lang w:val="en-US" w:eastAsia="zh-CN"/>
        </w:rPr>
        <w:t>95.26%</w:t>
      </w:r>
      <w:r>
        <w:rPr>
          <w:rFonts w:hint="eastAsia" w:ascii="仿宋_GB2312" w:hAnsi="仿宋_GB2312" w:eastAsia="仿宋_GB2312" w:cs="仿宋_GB2312"/>
          <w:b w:val="0"/>
          <w:bCs w:val="0"/>
          <w:color w:val="auto"/>
          <w:sz w:val="32"/>
          <w:szCs w:val="32"/>
          <w:lang w:val="en-US" w:eastAsia="zh-CN"/>
        </w:rPr>
        <w:t>，超过90%的指标要求。完成接种证查验工作，共查验托幼机构及小学222所，学校查验率、儿童查验率均达到100%。加强HPV疫苗工作，截至目前接种HPV九价疫苗疫苗4250剂次，1949人，基本实现“愿接尽接”。</w:t>
      </w:r>
      <w:r>
        <w:rPr>
          <w:rFonts w:hint="eastAsia" w:ascii="仿宋_GB2312" w:hAnsi="仿宋_GB2312" w:eastAsia="仿宋_GB2312" w:cs="仿宋_GB2312"/>
          <w:b w:val="0"/>
          <w:bCs w:val="0"/>
          <w:color w:val="auto"/>
          <w:sz w:val="32"/>
          <w:szCs w:val="32"/>
          <w:lang w:val="en-US" w:eastAsia="zh-CN"/>
        </w:rPr>
        <w:t>做好健康证办理工作，共办理健康证14021个。</w:t>
      </w:r>
    </w:p>
    <w:p w14:paraId="66197B17">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4.扎实开展基本公共卫生服务工作。</w:t>
      </w:r>
      <w:r>
        <w:rPr>
          <w:rFonts w:hint="eastAsia" w:ascii="仿宋_GB2312" w:hAnsi="仿宋_GB2312" w:eastAsia="仿宋_GB2312" w:cs="仿宋_GB2312"/>
          <w:b w:val="0"/>
          <w:bCs w:val="0"/>
          <w:color w:val="auto"/>
          <w:sz w:val="32"/>
          <w:szCs w:val="32"/>
          <w:lang w:val="en-US" w:eastAsia="zh-CN"/>
        </w:rPr>
        <w:t>为各基层医疗卫生单位核定2024年度任务，下发年度工作方案，重点核定了65岁老年人体检任务,高血压、糖尿病等重点人群管理任务，依托冠新基本公共卫生系统，全面开展居民健康档案的数据质控工作，清理姓名不规范档案23560份，身份证号重复档案35890份；清理包括身份证号为空、联系电话为空、身份证不合法或错误的等方面异常个人档案近10万余份。同时重点开展了所有档案的个人信息表的更新和勘误工作。截至目前，城乡居民电子健康档案建档375542份，其中规范建档368977份，规范化建档率98.25%；全旗2024年应管理65岁以上老年人49484人，截至目前健康体检32986人，健康管理率66.66%，超额完成市里核定的62%体检任务；应管理高血压患者30000人，规范管理高血压患者25788人，规范管理率85.96%；应管理Ⅱ型糖尿病患者9100人，规范管理Ⅱ型糖尿病患者6697人，规范管理率84.28%；辖区内管理在册严重精神障碍患者1990人，规范管理患者1863人，规范管理率93.62%，均达到或超过规定指标。</w:t>
      </w:r>
    </w:p>
    <w:p w14:paraId="51E1138E">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5.加快推进项目建设。</w:t>
      </w:r>
      <w:r>
        <w:rPr>
          <w:rFonts w:hint="eastAsia" w:ascii="仿宋_GB2312" w:hAnsi="仿宋_GB2312" w:eastAsia="仿宋_GB2312" w:cs="仿宋_GB2312"/>
          <w:b w:val="0"/>
          <w:bCs w:val="0"/>
          <w:color w:val="auto"/>
          <w:sz w:val="32"/>
          <w:szCs w:val="32"/>
          <w:lang w:val="en-US" w:eastAsia="zh-CN"/>
        </w:rPr>
        <w:t>实施了奈曼旗蒙医医院附属设施建设及设备购置项目、奈曼旗人民医院传染病病房楼配套设施及设备项目2个专项债项目。新建新镇中心卫生院附属工程建设项目，即将完工。做好土城子卫生院楼房项目、章古台卫生院门诊病房综合楼项目2个项目整改工作，因超期未完工、资金支付率低，以上2个项目被自治区发改委列为整改项目，目前正在督促、协调配合项目单位按时落实整改。</w:t>
      </w:r>
    </w:p>
    <w:p w14:paraId="3D38BC81">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（四）全面推进健康奈曼建设</w:t>
      </w:r>
    </w:p>
    <w:p w14:paraId="756B8946">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lang w:val="en-US" w:eastAsia="zh-CN"/>
        </w:rPr>
        <w:t>1.扎实推进健康教育与促进活动。</w:t>
      </w:r>
      <w:r>
        <w:rPr>
          <w:rFonts w:hint="eastAsia" w:ascii="仿宋_GB2312" w:hAnsi="仿宋_GB2312" w:eastAsia="仿宋_GB2312" w:cs="仿宋_GB2312"/>
          <w:b w:val="0"/>
          <w:bCs w:val="0"/>
          <w:color w:val="auto"/>
          <w:sz w:val="32"/>
          <w:szCs w:val="32"/>
          <w:lang w:val="en-US" w:eastAsia="zh-CN"/>
        </w:rPr>
        <w:t>依托爱国卫生月、首个健康素养宣传月、第八个健康促进月等重要时间节点按工作要求开展宣传工作，推进健康教育</w:t>
      </w:r>
      <w:r>
        <w:rPr>
          <w:rFonts w:hint="eastAsia" w:ascii="仿宋_GB2312" w:hAnsi="仿宋_GB2312" w:eastAsia="仿宋_GB2312" w:cs="仿宋_GB2312"/>
          <w:color w:val="auto"/>
          <w:sz w:val="32"/>
          <w:szCs w:val="32"/>
          <w:lang w:val="en-US" w:eastAsia="zh-CN"/>
        </w:rPr>
        <w:t>学校、社区、机关、企业、家庭组织开展健康教育“五进+”主题宣传活动，累计开展各种宣讲和义诊活动160余场，发放健康教育宣传材料3.5万余份，健康教育宣传品7000余份，受众人数达到2.5万人，发布健康科普、健康知识等相关图文120余篇。</w:t>
      </w:r>
      <w:r>
        <w:rPr>
          <w:rFonts w:hint="eastAsia" w:ascii="仿宋" w:hAnsi="仿宋" w:eastAsia="仿宋" w:cs="仿宋"/>
          <w:color w:val="auto"/>
          <w:sz w:val="32"/>
          <w:szCs w:val="32"/>
          <w:lang w:eastAsia="zh-CN"/>
        </w:rPr>
        <w:t>发动</w:t>
      </w:r>
      <w:r>
        <w:rPr>
          <w:rFonts w:hint="eastAsia" w:ascii="仿宋" w:hAnsi="仿宋" w:eastAsia="仿宋" w:cs="仿宋"/>
          <w:color w:val="auto"/>
          <w:sz w:val="32"/>
          <w:szCs w:val="32"/>
        </w:rPr>
        <w:t>全旗党员干部及志愿者</w:t>
      </w:r>
      <w:r>
        <w:rPr>
          <w:rFonts w:hint="eastAsia" w:ascii="黑体" w:hAnsi="黑体" w:eastAsia="黑体" w:cs="黑体"/>
          <w:color w:val="auto"/>
          <w:sz w:val="32"/>
          <w:szCs w:val="32"/>
        </w:rPr>
        <w:t>8</w:t>
      </w:r>
      <w:r>
        <w:rPr>
          <w:rFonts w:hint="eastAsia" w:ascii="仿宋" w:hAnsi="仿宋" w:eastAsia="仿宋" w:cs="仿宋"/>
          <w:color w:val="auto"/>
          <w:sz w:val="32"/>
          <w:szCs w:val="32"/>
        </w:rPr>
        <w:t>万余人次，</w:t>
      </w:r>
      <w:r>
        <w:rPr>
          <w:rFonts w:hint="eastAsia" w:ascii="仿宋_GB2312" w:hAnsi="仿宋_GB2312" w:eastAsia="仿宋_GB2312" w:cs="仿宋_GB2312"/>
          <w:b w:val="0"/>
          <w:bCs w:val="0"/>
          <w:color w:val="auto"/>
          <w:sz w:val="32"/>
          <w:szCs w:val="32"/>
          <w:lang w:val="en-US" w:eastAsia="zh-CN"/>
        </w:rPr>
        <w:t>参与健康宣传、城乡环境卫生整治、春季病媒生物防制等行动，</w:t>
      </w:r>
      <w:r>
        <w:rPr>
          <w:rFonts w:hint="eastAsia" w:ascii="仿宋" w:hAnsi="仿宋" w:eastAsia="仿宋" w:cs="仿宋"/>
          <w:color w:val="auto"/>
          <w:sz w:val="32"/>
          <w:szCs w:val="32"/>
        </w:rPr>
        <w:t>开展爱国卫生宣传活动</w:t>
      </w:r>
      <w:r>
        <w:rPr>
          <w:rFonts w:hint="eastAsia" w:ascii="黑体" w:hAnsi="黑体" w:eastAsia="黑体" w:cs="黑体"/>
          <w:color w:val="auto"/>
          <w:sz w:val="32"/>
          <w:szCs w:val="32"/>
        </w:rPr>
        <w:t>138</w:t>
      </w:r>
      <w:r>
        <w:rPr>
          <w:rFonts w:hint="eastAsia" w:ascii="仿宋" w:hAnsi="仿宋" w:eastAsia="仿宋" w:cs="仿宋"/>
          <w:color w:val="auto"/>
          <w:sz w:val="32"/>
          <w:szCs w:val="32"/>
        </w:rPr>
        <w:t>次，集中清整活动</w:t>
      </w: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rPr>
        <w:t>0</w:t>
      </w:r>
      <w:r>
        <w:rPr>
          <w:rFonts w:hint="eastAsia" w:ascii="仿宋" w:hAnsi="仿宋" w:eastAsia="仿宋" w:cs="仿宋"/>
          <w:color w:val="auto"/>
          <w:sz w:val="32"/>
          <w:szCs w:val="32"/>
          <w:lang w:eastAsia="zh-CN"/>
        </w:rPr>
        <w:t>余</w:t>
      </w:r>
      <w:r>
        <w:rPr>
          <w:rFonts w:hint="eastAsia" w:ascii="仿宋" w:hAnsi="仿宋" w:eastAsia="仿宋" w:cs="仿宋"/>
          <w:color w:val="auto"/>
          <w:sz w:val="32"/>
          <w:szCs w:val="32"/>
        </w:rPr>
        <w:t>次，清除垃圾</w:t>
      </w:r>
      <w:r>
        <w:rPr>
          <w:rFonts w:hint="eastAsia" w:ascii="仿宋" w:hAnsi="仿宋" w:eastAsia="仿宋" w:cs="仿宋"/>
          <w:color w:val="auto"/>
          <w:sz w:val="32"/>
          <w:szCs w:val="32"/>
          <w:lang w:val="en-US" w:eastAsia="zh-CN"/>
        </w:rPr>
        <w:t>杂物</w:t>
      </w: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0</w:t>
      </w:r>
      <w:r>
        <w:rPr>
          <w:rFonts w:hint="eastAsia" w:ascii="黑体" w:hAnsi="黑体" w:eastAsia="黑体" w:cs="黑体"/>
          <w:color w:val="auto"/>
          <w:sz w:val="32"/>
          <w:szCs w:val="32"/>
        </w:rPr>
        <w:t>200</w:t>
      </w:r>
      <w:r>
        <w:rPr>
          <w:rFonts w:hint="eastAsia" w:ascii="仿宋" w:hAnsi="仿宋" w:eastAsia="仿宋" w:cs="仿宋"/>
          <w:color w:val="auto"/>
          <w:sz w:val="32"/>
          <w:szCs w:val="32"/>
        </w:rPr>
        <w:t>余吨</w:t>
      </w:r>
      <w:r>
        <w:rPr>
          <w:rFonts w:hint="eastAsia" w:ascii="仿宋" w:hAnsi="仿宋" w:eastAsia="仿宋" w:cs="仿宋"/>
          <w:color w:val="auto"/>
          <w:sz w:val="32"/>
          <w:szCs w:val="32"/>
          <w:lang w:eastAsia="zh-CN"/>
        </w:rPr>
        <w:t>，有效阻断了病媒生物的传播途径。</w:t>
      </w:r>
      <w:r>
        <w:rPr>
          <w:rFonts w:hint="eastAsia" w:ascii="仿宋" w:hAnsi="仿宋" w:eastAsia="仿宋" w:cs="仿宋"/>
          <w:color w:val="auto"/>
          <w:sz w:val="32"/>
          <w:szCs w:val="32"/>
          <w:lang w:val="en-US" w:eastAsia="zh-CN"/>
        </w:rPr>
        <w:t>购置</w:t>
      </w:r>
      <w:r>
        <w:rPr>
          <w:rFonts w:hint="eastAsia" w:ascii="仿宋" w:hAnsi="仿宋" w:eastAsia="仿宋" w:cs="仿宋"/>
          <w:color w:val="auto"/>
          <w:sz w:val="32"/>
          <w:szCs w:val="32"/>
        </w:rPr>
        <w:t>灭鼠药品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溴敌隆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39</w:t>
      </w:r>
      <w:r>
        <w:rPr>
          <w:rFonts w:hint="eastAsia" w:ascii="仿宋" w:hAnsi="仿宋" w:eastAsia="仿宋" w:cs="仿宋"/>
          <w:color w:val="auto"/>
          <w:sz w:val="32"/>
          <w:szCs w:val="32"/>
        </w:rPr>
        <w:t>吨、灭蚤药品</w:t>
      </w:r>
      <w:r>
        <w:rPr>
          <w:rFonts w:hint="eastAsia" w:ascii="仿宋" w:hAnsi="仿宋" w:eastAsia="仿宋" w:cs="仿宋"/>
          <w:color w:val="auto"/>
          <w:sz w:val="32"/>
          <w:szCs w:val="32"/>
          <w:lang w:val="en-US" w:eastAsia="zh-CN"/>
        </w:rPr>
        <w:t>4000</w:t>
      </w:r>
      <w:r>
        <w:rPr>
          <w:rFonts w:hint="eastAsia" w:ascii="仿宋" w:hAnsi="仿宋" w:eastAsia="仿宋" w:cs="仿宋"/>
          <w:color w:val="auto"/>
          <w:sz w:val="32"/>
          <w:szCs w:val="32"/>
        </w:rPr>
        <w:t>瓶</w:t>
      </w:r>
      <w:r>
        <w:rPr>
          <w:rFonts w:hint="eastAsia" w:ascii="仿宋" w:hAnsi="仿宋" w:eastAsia="仿宋" w:cs="仿宋"/>
          <w:color w:val="auto"/>
          <w:sz w:val="32"/>
          <w:szCs w:val="32"/>
          <w:lang w:eastAsia="zh-CN"/>
        </w:rPr>
        <w:t>，大力</w:t>
      </w:r>
      <w:r>
        <w:rPr>
          <w:rFonts w:hint="eastAsia" w:ascii="仿宋" w:hAnsi="仿宋" w:eastAsia="仿宋" w:cs="仿宋"/>
          <w:color w:val="auto"/>
          <w:sz w:val="32"/>
          <w:szCs w:val="32"/>
          <w:lang w:val="en-US" w:eastAsia="zh-CN"/>
        </w:rPr>
        <w:t>开展春季灭鼠灭蚤工作。</w:t>
      </w:r>
    </w:p>
    <w:p w14:paraId="3FD9B95A">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lang w:val="en-US" w:eastAsia="zh-CN"/>
        </w:rPr>
        <w:t>2.全力推进国家卫生县城复审和国家卫生乡镇创建工作。</w:t>
      </w:r>
      <w:r>
        <w:rPr>
          <w:rFonts w:hint="eastAsia" w:ascii="仿宋" w:hAnsi="仿宋" w:eastAsia="仿宋" w:cs="仿宋"/>
          <w:color w:val="auto"/>
          <w:sz w:val="32"/>
          <w:szCs w:val="32"/>
          <w:lang w:val="en-US" w:eastAsia="zh-CN"/>
        </w:rPr>
        <w:t>共同做好国家卫生县城复审相关工作，组织相关部门召开国家卫生县城复审会议，协调乡镇及相关职能部门协同推进。3个国家</w:t>
      </w:r>
      <w:r>
        <w:rPr>
          <w:rFonts w:hint="eastAsia" w:ascii="仿宋_GB2312" w:hAnsi="仿宋_GB2312" w:eastAsia="仿宋_GB2312" w:cs="仿宋_GB2312"/>
          <w:color w:val="auto"/>
          <w:sz w:val="32"/>
          <w:szCs w:val="32"/>
          <w:lang w:val="en-US" w:eastAsia="zh-CN"/>
        </w:rPr>
        <w:t>健康素养监测点：东明镇、大沁他拉镇、大沁他拉街道办事处，通过线上线下等多种形式持续努力，2024年国家级健康素养调查入户工作已全部完成，</w:t>
      </w:r>
      <w:r>
        <w:rPr>
          <w:rFonts w:hint="eastAsia" w:ascii="仿宋_GB2312" w:hAnsi="仿宋_GB2312" w:eastAsia="仿宋_GB2312" w:cs="仿宋_GB2312"/>
          <w:color w:val="auto"/>
          <w:sz w:val="32"/>
          <w:szCs w:val="32"/>
          <w:highlight w:val="none"/>
          <w:lang w:val="en-US" w:eastAsia="zh-CN"/>
        </w:rPr>
        <w:t>相关数据已通过自治区审核。7</w:t>
      </w:r>
      <w:r>
        <w:rPr>
          <w:rFonts w:hint="eastAsia" w:ascii="仿宋" w:hAnsi="仿宋" w:eastAsia="仿宋" w:cs="仿宋"/>
          <w:color w:val="auto"/>
          <w:sz w:val="32"/>
          <w:szCs w:val="32"/>
          <w:lang w:val="en-US" w:eastAsia="zh-CN"/>
        </w:rPr>
        <w:t>个苏木乡镇白音他拉苏木、固日班花苏木、明仁苏木、治安镇、八仙筒镇、青龙山镇、新镇于4月上旬通过了国家卫生乡镇自治区级现场评价。</w:t>
      </w:r>
    </w:p>
    <w:p w14:paraId="6CF10087">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（五）持续做好人口监测与家庭发展工作</w:t>
      </w:r>
    </w:p>
    <w:p w14:paraId="2B4C0E08">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1.优化生育服务管理和扩大普惠托育服务供给。</w:t>
      </w:r>
      <w:r>
        <w:rPr>
          <w:rFonts w:hint="eastAsia" w:ascii="仿宋_GB2312" w:hAnsi="仿宋_GB2312" w:eastAsia="仿宋_GB2312" w:cs="仿宋_GB2312"/>
          <w:b w:val="0"/>
          <w:bCs w:val="0"/>
          <w:color w:val="auto"/>
          <w:sz w:val="32"/>
          <w:szCs w:val="32"/>
          <w:lang w:val="en-US" w:eastAsia="zh-CN"/>
        </w:rPr>
        <w:t>促进人口长期均衡发展取得新进展，普惠托育服务供给快速增加。从“经济支持、时间支持、服务支持、文化支持”等四个维度加快完善生育支持政策体系，积极营造生育友好社会环境。年度新增婴幼儿托位数340个，超额完成160个，全旗托位总数达到1740个，每千人口拥有3岁以下婴幼儿托位数达到4.64个。全面落实国家普惠托育服务发展示范项目建设，目前奈曼旗第二幼儿园托育服务指导中心能力提升、填补全旗6个苏木乡镇托育空白点、托育示范项目等五大行动8个项目正在有序推进中。严格落实计划生育各项惠民政策，惠及人群9009人（户），应发放资金1580万元。</w:t>
      </w:r>
    </w:p>
    <w:p w14:paraId="6C503B0D">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加强老年人健康保障。</w:t>
      </w:r>
      <w:r>
        <w:rPr>
          <w:rFonts w:hint="eastAsia" w:ascii="仿宋_GB2312" w:hAnsi="仿宋_GB2312" w:eastAsia="仿宋_GB2312" w:cs="仿宋_GB2312"/>
          <w:b w:val="0"/>
          <w:bCs w:val="0"/>
          <w:color w:val="auto"/>
          <w:sz w:val="32"/>
          <w:szCs w:val="32"/>
          <w:lang w:val="en-US" w:eastAsia="zh-CN"/>
        </w:rPr>
        <w:t>建立健全老年健康服务体系，规范提升旗人民医院和旗蒙医医院老年医学科科室建设能力，巩固提高全旗22家老年友善医疗机构建设水平，组织实施老年健康促进行动，深入推进医养结合融合发展。</w:t>
      </w:r>
      <w:r>
        <w:rPr>
          <w:rFonts w:hint="eastAsia" w:ascii="仿宋_GB2312" w:hAnsi="仿宋_GB2312" w:eastAsia="仿宋_GB2312" w:cs="仿宋_GB2312"/>
          <w:color w:val="auto"/>
          <w:sz w:val="32"/>
          <w:szCs w:val="32"/>
          <w:lang w:eastAsia="zh-CN"/>
        </w:rPr>
        <w:t>组织实施老年健康促进行动，全面开展老年人家庭医生签约和健康体检工作，做好老年人健康管理等基本公共卫生服务。深入推进医养结合融合发展，</w:t>
      </w:r>
      <w:r>
        <w:rPr>
          <w:rFonts w:hint="eastAsia" w:ascii="仿宋_GB2312" w:hAnsi="仿宋_GB2312" w:eastAsia="仿宋_GB2312" w:cs="仿宋_GB2312"/>
          <w:color w:val="auto"/>
          <w:sz w:val="32"/>
          <w:szCs w:val="32"/>
          <w:lang w:val="en-US" w:eastAsia="zh-CN"/>
        </w:rPr>
        <w:t>推荐奈曼健康养老医院（奈曼旗康德苑老年公寓）为通辽市级医养结合示范机构，</w:t>
      </w:r>
      <w:r>
        <w:rPr>
          <w:rFonts w:hint="eastAsia" w:ascii="仿宋_GB2312" w:hAnsi="仿宋_GB2312" w:eastAsia="仿宋_GB2312" w:cs="仿宋_GB2312"/>
          <w:color w:val="auto"/>
          <w:sz w:val="32"/>
          <w:szCs w:val="32"/>
          <w:lang w:eastAsia="zh-CN"/>
        </w:rPr>
        <w:t>新增奈曼旗德亨仁厚医院（诺恩吉雅健康养老中心）医养结合机构</w:t>
      </w:r>
      <w:r>
        <w:rPr>
          <w:rFonts w:hint="eastAsia" w:ascii="仿宋_GB2312" w:hAnsi="仿宋_GB2312" w:eastAsia="仿宋_GB2312" w:cs="仿宋_GB2312"/>
          <w:color w:val="auto"/>
          <w:sz w:val="32"/>
          <w:szCs w:val="32"/>
          <w:lang w:val="en-US" w:eastAsia="zh-CN"/>
        </w:rPr>
        <w:t>1家，</w:t>
      </w:r>
      <w:r>
        <w:rPr>
          <w:rFonts w:hint="eastAsia" w:ascii="仿宋_GB2312" w:hAnsi="仿宋_GB2312" w:eastAsia="仿宋_GB2312" w:cs="仿宋_GB2312"/>
          <w:color w:val="auto"/>
          <w:sz w:val="32"/>
          <w:szCs w:val="32"/>
          <w:lang w:eastAsia="zh-CN"/>
        </w:rPr>
        <w:t>推动医疗卫生机构与养老服务机构签约合作落地落实。大力推进老年友好社会建设，</w:t>
      </w:r>
      <w:r>
        <w:rPr>
          <w:rFonts w:hint="eastAsia" w:ascii="仿宋_GB2312" w:hAnsi="仿宋_GB2312" w:eastAsia="仿宋_GB2312" w:cs="仿宋_GB2312"/>
          <w:color w:val="auto"/>
          <w:sz w:val="32"/>
          <w:szCs w:val="32"/>
          <w:lang w:val="en-US" w:eastAsia="zh-CN"/>
        </w:rPr>
        <w:t>推荐</w:t>
      </w:r>
      <w:r>
        <w:rPr>
          <w:rFonts w:hint="eastAsia" w:ascii="仿宋_GB2312" w:hAnsi="仿宋_GB2312" w:eastAsia="仿宋_GB2312" w:cs="仿宋_GB2312"/>
          <w:color w:val="auto"/>
          <w:sz w:val="32"/>
          <w:szCs w:val="32"/>
          <w:lang w:eastAsia="zh-CN"/>
        </w:rPr>
        <w:t>大沁他拉街道</w:t>
      </w:r>
      <w:r>
        <w:rPr>
          <w:rFonts w:hint="eastAsia" w:ascii="仿宋_GB2312" w:hAnsi="仿宋_GB2312" w:eastAsia="仿宋_GB2312" w:cs="仿宋_GB2312"/>
          <w:color w:val="auto"/>
          <w:sz w:val="32"/>
          <w:szCs w:val="32"/>
          <w:lang w:val="en-US" w:eastAsia="zh-CN"/>
        </w:rPr>
        <w:t>阳光</w:t>
      </w:r>
      <w:r>
        <w:rPr>
          <w:rFonts w:hint="eastAsia" w:ascii="仿宋_GB2312" w:hAnsi="仿宋_GB2312" w:eastAsia="仿宋_GB2312" w:cs="仿宋_GB2312"/>
          <w:color w:val="auto"/>
          <w:sz w:val="32"/>
          <w:szCs w:val="32"/>
          <w:lang w:eastAsia="zh-CN"/>
        </w:rPr>
        <w:t>社区争创“全国示范性老年友好型社区”。组织开展“老年健康周”等主题</w:t>
      </w:r>
      <w:r>
        <w:rPr>
          <w:rFonts w:hint="eastAsia" w:ascii="仿宋_GB2312" w:hAnsi="仿宋_GB2312" w:eastAsia="仿宋_GB2312" w:cs="仿宋_GB2312"/>
          <w:color w:val="auto"/>
          <w:sz w:val="32"/>
          <w:szCs w:val="32"/>
          <w:lang w:val="en-US" w:eastAsia="zh-CN"/>
        </w:rPr>
        <w:t>宣传</w:t>
      </w:r>
      <w:r>
        <w:rPr>
          <w:rFonts w:hint="eastAsia" w:ascii="仿宋_GB2312" w:hAnsi="仿宋_GB2312" w:eastAsia="仿宋_GB2312" w:cs="仿宋_GB2312"/>
          <w:color w:val="auto"/>
          <w:sz w:val="32"/>
          <w:szCs w:val="32"/>
          <w:lang w:eastAsia="zh-CN"/>
        </w:rPr>
        <w:t>活动。</w:t>
      </w:r>
    </w:p>
    <w:p w14:paraId="315BECC3">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（六）</w:t>
      </w:r>
      <w:r>
        <w:rPr>
          <w:rFonts w:hint="eastAsia" w:ascii="楷体_GB2312" w:hAnsi="楷体_GB2312" w:eastAsia="楷体_GB2312" w:cs="楷体_GB2312"/>
          <w:b/>
          <w:bCs/>
          <w:color w:val="auto"/>
          <w:sz w:val="32"/>
          <w:szCs w:val="32"/>
        </w:rPr>
        <w:t>加强妇幼健康服务</w:t>
      </w:r>
      <w:r>
        <w:rPr>
          <w:rFonts w:hint="eastAsia" w:ascii="楷体_GB2312" w:hAnsi="楷体_GB2312" w:eastAsia="楷体_GB2312" w:cs="楷体_GB2312"/>
          <w:b/>
          <w:bCs/>
          <w:color w:val="auto"/>
          <w:sz w:val="32"/>
          <w:szCs w:val="32"/>
          <w:lang w:eastAsia="zh-CN"/>
        </w:rPr>
        <w:t>工作</w:t>
      </w:r>
    </w:p>
    <w:p w14:paraId="0B36895C">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0"/>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深入实施母婴安全行动和健康儿童行动提升计划。</w:t>
      </w:r>
      <w:r>
        <w:rPr>
          <w:rFonts w:hint="eastAsia" w:ascii="仿宋_GB2312" w:hAnsi="仿宋_GB2312" w:eastAsia="仿宋_GB2312" w:cs="仿宋_GB2312"/>
          <w:b w:val="0"/>
          <w:bCs w:val="0"/>
          <w:color w:val="auto"/>
          <w:sz w:val="32"/>
          <w:szCs w:val="32"/>
          <w:highlight w:val="none"/>
          <w:lang w:val="en-US" w:eastAsia="zh-CN"/>
        </w:rPr>
        <w:t>制定并印发《奈曼旗推进孕产妇和儿童健康集中管理工作实施方案》。重点加强对高危孕产妇管理，严格落实母婴安全五项制度，截止目前，全旗孕产妇总数1943人，系统管理率为98.38%；无孕产妇死亡；我旗活产数1974人，新生儿死亡3人；婴儿死亡5人；五岁以下儿童死亡9人。推动消除艾滋病、梅毒和乙肝母婴传播工作，孕产妇艾滋病、梅毒和乙肝检测率为100%，梅毒干预措施100%，乙肝疫苗及时接种率100%，乙肝免疫球蛋白及时注射率96.77%。营养包有效服用率88%。</w:t>
      </w:r>
    </w:p>
    <w:p w14:paraId="1FDC9007">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2.积极推进出生缺陷综合防治工作。</w:t>
      </w:r>
      <w:r>
        <w:rPr>
          <w:rFonts w:hint="eastAsia" w:ascii="仿宋_GB2312" w:hAnsi="仿宋_GB2312" w:eastAsia="仿宋_GB2312" w:cs="仿宋_GB2312"/>
          <w:color w:val="auto"/>
          <w:sz w:val="32"/>
          <w:szCs w:val="32"/>
          <w:highlight w:val="none"/>
          <w:lang w:eastAsia="zh-CN"/>
        </w:rPr>
        <w:t>巩固实施出生缺陷三级防治，探索多样的宣传和服务方式，制作了以健康孕育小课堂为主题的宣传动画，在各微信群和朋友圈广泛传播，引导目标人群积极参与婚前、孕前检查等。截止目前，婚前医学检查2456人；孕前优生健康检查2000人；新生儿听力筛查（初筛及复筛）1969例；产前筛查1942例；先天性心脏病筛查  例。</w:t>
      </w:r>
    </w:p>
    <w:p w14:paraId="29B83347">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32"/>
          <w:highlight w:val="none"/>
          <w:lang w:val="en-US" w:eastAsia="zh-CN"/>
        </w:rPr>
        <w:t>3.全面开展适龄妇女“两癌”免费筛查工作。</w:t>
      </w:r>
      <w:r>
        <w:rPr>
          <w:rFonts w:hint="eastAsia" w:ascii="仿宋_GB2312" w:hAnsi="仿宋_GB2312" w:eastAsia="仿宋_GB2312" w:cs="仿宋_GB2312"/>
          <w:color w:val="auto"/>
          <w:sz w:val="32"/>
          <w:szCs w:val="40"/>
          <w:highlight w:val="none"/>
          <w:lang w:val="en-US" w:eastAsia="zh-CN"/>
        </w:rPr>
        <w:t>制定并印发《农村牧区和城镇低保家庭适龄妇女“两癌”筛查项目实施方案》，并认真组织实施，切实做到应筛尽筛、应查尽查。广泛开展政策宣传，利用培训班、公众号、走村入户等线上线下相结合的方式，广泛开展“两癌”知识宣传，营造群众主动参与的良好氛围。截止目前我旗宫颈癌筛查17471人，任务完成率101.49%；乳腺癌筛查17506人，任务完成率101.69%。</w:t>
      </w:r>
    </w:p>
    <w:p w14:paraId="643E5461">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40"/>
          <w:lang w:val="en-US" w:eastAsia="zh-CN"/>
        </w:rPr>
        <w:t>（七）</w:t>
      </w:r>
      <w:r>
        <w:rPr>
          <w:rFonts w:hint="eastAsia" w:ascii="楷体_GB2312" w:hAnsi="楷体_GB2312" w:eastAsia="楷体_GB2312" w:cs="楷体_GB2312"/>
          <w:b/>
          <w:bCs/>
          <w:color w:val="auto"/>
          <w:sz w:val="32"/>
          <w:szCs w:val="32"/>
          <w:lang w:val="en-US" w:eastAsia="zh-CN"/>
        </w:rPr>
        <w:t>促进中医药传承创新发展</w:t>
      </w:r>
    </w:p>
    <w:p w14:paraId="54AA9573">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val="0"/>
          <w:color w:val="auto"/>
          <w:spacing w:val="6"/>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1.积极创建</w:t>
      </w:r>
      <w:r>
        <w:rPr>
          <w:rFonts w:hint="eastAsia" w:ascii="仿宋_GB2312" w:hAnsi="仿宋_GB2312" w:eastAsia="仿宋_GB2312" w:cs="仿宋_GB2312"/>
          <w:b/>
          <w:bCs/>
          <w:color w:val="auto"/>
          <w:sz w:val="32"/>
          <w:szCs w:val="32"/>
          <w:lang w:eastAsia="zh-CN"/>
        </w:rPr>
        <w:t>全国基层中医药工作示范县。</w:t>
      </w:r>
      <w:r>
        <w:rPr>
          <w:rFonts w:hint="eastAsia" w:ascii="仿宋_GB2312" w:hAnsi="仿宋_GB2312" w:eastAsia="仿宋_GB2312" w:cs="仿宋_GB2312"/>
          <w:b w:val="0"/>
          <w:color w:val="auto"/>
          <w:spacing w:val="6"/>
          <w:kern w:val="2"/>
          <w:sz w:val="32"/>
          <w:szCs w:val="32"/>
          <w:lang w:val="en-US" w:eastAsia="zh-CN" w:bidi="ar-SA"/>
        </w:rPr>
        <w:t>及时传达上级部门和党委政府文件精神，起草相关文件，收集、整理、完善相关资料。组织相关部门召开创建全国基层中医药工作示范县联席会议和卫健系统中医药（蒙医药）工作会议，安排部署示范县创建工作及2024年工作任务；对辖区内各医疗卫生机构进行了2次督导检查。8月末通过自治区评审组现场评审，等待国家抽查、命名。</w:t>
      </w:r>
    </w:p>
    <w:p w14:paraId="523D478B">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提升中医（蒙医）服务水平。</w:t>
      </w:r>
      <w:r>
        <w:rPr>
          <w:rFonts w:hint="eastAsia" w:ascii="仿宋_GB2312" w:hAnsi="仿宋_GB2312" w:eastAsia="仿宋_GB2312" w:cs="仿宋_GB2312"/>
          <w:color w:val="auto"/>
          <w:spacing w:val="6"/>
          <w:sz w:val="32"/>
          <w:szCs w:val="32"/>
          <w:lang w:val="en-US" w:eastAsia="zh-CN"/>
        </w:rPr>
        <w:t>全面开展创建“中和情”中医(蒙医)医院活动。重点打造旗蒙医医院“两专科一中心”建设，继续加强旗蒙医医院康复科、疗术科和蒙医心病科、</w:t>
      </w:r>
      <w:r>
        <w:rPr>
          <w:rFonts w:hint="eastAsia" w:ascii="仿宋_GB2312" w:hAnsi="仿宋_GB2312" w:eastAsia="仿宋_GB2312" w:cs="仿宋_GB2312"/>
          <w:b w:val="0"/>
          <w:i w:val="0"/>
          <w:color w:val="auto"/>
          <w:spacing w:val="11"/>
          <w:sz w:val="32"/>
          <w:u w:val="none"/>
          <w:lang w:eastAsia="zh-CN"/>
        </w:rPr>
        <w:t>脑病科</w:t>
      </w:r>
      <w:r>
        <w:rPr>
          <w:rFonts w:hint="eastAsia" w:ascii="仿宋_GB2312" w:hAnsi="仿宋_GB2312" w:eastAsia="仿宋_GB2312" w:cs="仿宋_GB2312"/>
          <w:color w:val="auto"/>
          <w:spacing w:val="6"/>
          <w:sz w:val="32"/>
          <w:szCs w:val="32"/>
          <w:lang w:val="en-US" w:eastAsia="zh-CN"/>
        </w:rPr>
        <w:t>重点专科建设，</w:t>
      </w:r>
      <w:r>
        <w:rPr>
          <w:rFonts w:hint="eastAsia" w:ascii="仿宋_GB2312" w:hAnsi="仿宋_GB2312" w:eastAsia="仿宋_GB2312" w:cs="仿宋_GB2312"/>
          <w:color w:val="auto"/>
          <w:spacing w:val="6"/>
          <w:sz w:val="32"/>
          <w:szCs w:val="32"/>
          <w:lang w:val="en-US" w:eastAsia="zh-CN"/>
        </w:rPr>
        <w:t>发展急救科，充分发挥“奈曼旗中医药（蒙医药）适宜技术推广中心”作用；</w:t>
      </w:r>
      <w:r>
        <w:rPr>
          <w:rFonts w:hint="eastAsia" w:ascii="仿宋_GB2312" w:hAnsi="仿宋_GB2312" w:eastAsia="仿宋_GB2312" w:cs="仿宋_GB2312"/>
          <w:color w:val="auto"/>
          <w:spacing w:val="6"/>
          <w:sz w:val="32"/>
          <w:szCs w:val="32"/>
          <w:highlight w:val="none"/>
          <w:lang w:val="en-US" w:eastAsia="zh-CN"/>
        </w:rPr>
        <w:t>先后2次组织基层医务人员约400人次开展中医药（蒙医药）适宜技术推广培训，</w:t>
      </w:r>
      <w:r>
        <w:rPr>
          <w:rFonts w:hint="eastAsia" w:ascii="仿宋_GB2312" w:hAnsi="仿宋_GB2312" w:eastAsia="仿宋_GB2312" w:cs="仿宋_GB2312"/>
          <w:color w:val="auto"/>
          <w:spacing w:val="6"/>
          <w:sz w:val="32"/>
          <w:szCs w:val="32"/>
          <w:lang w:val="en-US" w:eastAsia="zh-CN"/>
        </w:rPr>
        <w:t>乡镇卫生院在旗蒙医医院免费学习中医药（蒙医药）适宜技术3人。</w:t>
      </w:r>
      <w:r>
        <w:rPr>
          <w:rFonts w:hint="eastAsia" w:ascii="仿宋_GB2312" w:hAnsi="仿宋_GB2312" w:eastAsia="仿宋_GB2312" w:cs="仿宋_GB2312"/>
          <w:color w:val="auto"/>
          <w:sz w:val="32"/>
          <w:szCs w:val="32"/>
          <w:lang w:val="en-US" w:eastAsia="zh-CN"/>
        </w:rPr>
        <w:t>全旗20家基层卫生院、1家社区卫生服务中心，100%完成中医馆（蒙医馆）建设，69家</w:t>
      </w:r>
      <w:r>
        <w:rPr>
          <w:rFonts w:hint="eastAsia" w:ascii="仿宋_GB2312" w:hAnsi="仿宋_GB2312" w:eastAsia="仿宋_GB2312" w:cs="仿宋_GB2312"/>
          <w:color w:val="auto"/>
          <w:sz w:val="32"/>
          <w:szCs w:val="32"/>
          <w:lang w:eastAsia="zh-CN"/>
        </w:rPr>
        <w:t>嘎查村卫生室（服务站）打造中医阁（蒙医阁）建设。</w:t>
      </w:r>
      <w:r>
        <w:rPr>
          <w:rFonts w:hint="eastAsia" w:ascii="仿宋_GB2312" w:hAnsi="仿宋_GB2312" w:eastAsia="仿宋_GB2312" w:cs="仿宋_GB2312"/>
          <w:color w:val="auto"/>
          <w:kern w:val="2"/>
          <w:sz w:val="32"/>
          <w:szCs w:val="32"/>
          <w:lang w:val="en-US" w:eastAsia="zh-CN" w:bidi="ar-SA"/>
        </w:rPr>
        <w:t>拓展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治未病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eastAsia="zh-CN"/>
        </w:rPr>
        <w:t>范围</w:t>
      </w:r>
      <w:r>
        <w:rPr>
          <w:rFonts w:hint="eastAsia" w:ascii="仿宋_GB2312" w:hAnsi="仿宋_GB2312" w:eastAsia="仿宋_GB2312" w:cs="仿宋_GB2312"/>
          <w:color w:val="auto"/>
          <w:sz w:val="32"/>
          <w:szCs w:val="32"/>
        </w:rPr>
        <w:t>，将中医（蒙医）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治未病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服务纳入家庭医生签约服务内容，针对重点人群和慢性病患者持续开展中医（蒙医）健康管理</w:t>
      </w:r>
      <w:r>
        <w:rPr>
          <w:rFonts w:hint="eastAsia" w:ascii="仿宋_GB2312" w:hAnsi="仿宋_GB2312" w:eastAsia="仿宋_GB2312" w:cs="仿宋_GB2312"/>
          <w:color w:val="auto"/>
          <w:sz w:val="32"/>
          <w:szCs w:val="32"/>
          <w:lang w:eastAsia="zh-CN"/>
        </w:rPr>
        <w:t>。截止目前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65岁以上老年人及0-36月儿童中医药（蒙医药）健康管理率分别达到90.72%、91.75%。</w:t>
      </w:r>
    </w:p>
    <w:p w14:paraId="7B7F0F4B">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（八）</w:t>
      </w:r>
      <w:r>
        <w:rPr>
          <w:rFonts w:hint="eastAsia" w:ascii="楷体_GB2312" w:hAnsi="楷体_GB2312" w:eastAsia="楷体_GB2312" w:cs="楷体_GB2312"/>
          <w:b/>
          <w:bCs/>
          <w:color w:val="auto"/>
          <w:sz w:val="32"/>
          <w:szCs w:val="32"/>
          <w:lang w:val="en-US" w:eastAsia="zh-CN"/>
        </w:rPr>
        <w:t>强化卫生健康事业支撑保障</w:t>
      </w:r>
    </w:p>
    <w:p w14:paraId="67A31F98">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75"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i w:val="0"/>
          <w:caps w:val="0"/>
          <w:color w:val="auto"/>
          <w:spacing w:val="8"/>
          <w:sz w:val="32"/>
          <w:szCs w:val="32"/>
          <w:shd w:val="clear" w:color="auto" w:fill="FFFFFF"/>
          <w:lang w:val="en-US" w:eastAsia="zh-CN"/>
        </w:rPr>
        <w:t>1.完善</w:t>
      </w:r>
      <w:r>
        <w:rPr>
          <w:rFonts w:hint="eastAsia" w:ascii="仿宋_GB2312" w:hAnsi="仿宋_GB2312" w:eastAsia="仿宋_GB2312" w:cs="仿宋_GB2312"/>
          <w:b/>
          <w:bCs/>
          <w:i w:val="0"/>
          <w:caps w:val="0"/>
          <w:color w:val="auto"/>
          <w:spacing w:val="8"/>
          <w:sz w:val="32"/>
          <w:szCs w:val="32"/>
          <w:shd w:val="clear" w:color="auto" w:fill="FFFFFF"/>
          <w:lang w:eastAsia="zh-CN"/>
        </w:rPr>
        <w:t>医疗卫生基础设施设备建设</w:t>
      </w:r>
      <w:r>
        <w:rPr>
          <w:rFonts w:hint="eastAsia" w:ascii="仿宋_GB2312" w:hAnsi="仿宋_GB2312" w:eastAsia="仿宋_GB2312" w:cs="仿宋_GB2312"/>
          <w:b w:val="0"/>
          <w:bCs w:val="0"/>
          <w:i w:val="0"/>
          <w:caps w:val="0"/>
          <w:color w:val="auto"/>
          <w:spacing w:val="8"/>
          <w:sz w:val="32"/>
          <w:szCs w:val="32"/>
          <w:shd w:val="clear" w:color="auto" w:fill="FFFFFF"/>
          <w:lang w:eastAsia="zh-CN"/>
        </w:rPr>
        <w:t>。</w:t>
      </w:r>
      <w:r>
        <w:rPr>
          <w:rFonts w:hint="eastAsia" w:ascii="仿宋_GB2312" w:hAnsi="仿宋_GB2312" w:eastAsia="仿宋_GB2312" w:cs="仿宋_GB2312"/>
          <w:b w:val="0"/>
          <w:bCs w:val="0"/>
          <w:color w:val="auto"/>
          <w:sz w:val="32"/>
          <w:szCs w:val="32"/>
          <w:highlight w:val="none"/>
        </w:rPr>
        <w:t>推进</w:t>
      </w:r>
      <w:r>
        <w:rPr>
          <w:rFonts w:hint="eastAsia" w:ascii="仿宋_GB2312" w:hAnsi="仿宋_GB2312" w:eastAsia="仿宋_GB2312" w:cs="仿宋_GB2312"/>
          <w:b w:val="0"/>
          <w:bCs w:val="0"/>
          <w:color w:val="auto"/>
          <w:sz w:val="32"/>
          <w:szCs w:val="32"/>
          <w:highlight w:val="none"/>
          <w:lang w:eastAsia="zh-CN"/>
        </w:rPr>
        <w:t>旗蒙医医院病房综合楼建设项目、传染病楼建设项目和新镇卫生院建设项目，计划年内投入使用。争取</w:t>
      </w:r>
      <w:r>
        <w:rPr>
          <w:rFonts w:hint="eastAsia" w:ascii="仿宋_GB2312" w:hAnsi="仿宋_GB2312" w:eastAsia="仿宋_GB2312" w:cs="仿宋_GB2312"/>
          <w:b w:val="0"/>
          <w:bCs w:val="0"/>
          <w:color w:val="auto"/>
          <w:sz w:val="32"/>
          <w:szCs w:val="32"/>
          <w:lang w:eastAsia="zh-CN"/>
        </w:rPr>
        <w:t>京蒙协作资金，实施</w:t>
      </w:r>
      <w:r>
        <w:rPr>
          <w:rFonts w:hint="eastAsia" w:ascii="仿宋_GB2312" w:hAnsi="仿宋_GB2312" w:eastAsia="仿宋_GB2312" w:cs="仿宋_GB2312"/>
          <w:b w:val="0"/>
          <w:bCs w:val="0"/>
          <w:color w:val="auto"/>
          <w:sz w:val="32"/>
          <w:szCs w:val="32"/>
          <w:lang w:val="en-US" w:eastAsia="zh-CN"/>
        </w:rPr>
        <w:t>33万元2024年度奈曼旗卫生专业技术人员培训项目，送出20人赴北京市地区跟岗培训学习1个月。新建治安镇中心卫生院楼房项目，总投资392.5万元，为京蒙资金和对口帮扶资金，计划建设门诊楼二层总体面积1200平，目前已开工建设。开展各医疗卫生机构设备以旧换新摸底申报工作，组织各医疗机构进行了填报。</w:t>
      </w:r>
    </w:p>
    <w:p w14:paraId="3DFCCF5F">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2.继续加强支援协作关系。</w:t>
      </w:r>
      <w:r>
        <w:rPr>
          <w:rFonts w:hint="eastAsia" w:ascii="仿宋_GB2312" w:hAnsi="仿宋_GB2312" w:eastAsia="仿宋_GB2312" w:cs="仿宋_GB2312"/>
          <w:color w:val="auto"/>
          <w:sz w:val="32"/>
          <w:szCs w:val="32"/>
          <w:lang w:val="en-US" w:eastAsia="zh-CN" w:bidi="ar"/>
        </w:rPr>
        <w:t>北京中医药大学东直门医院</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val="0"/>
          <w:bCs w:val="0"/>
          <w:color w:val="auto"/>
          <w:sz w:val="32"/>
          <w:szCs w:val="32"/>
        </w:rPr>
        <w:t>内蒙古</w:t>
      </w:r>
      <w:r>
        <w:rPr>
          <w:rFonts w:hint="eastAsia" w:ascii="仿宋_GB2312" w:hAnsi="仿宋_GB2312" w:eastAsia="仿宋_GB2312" w:cs="仿宋_GB2312"/>
          <w:color w:val="auto"/>
          <w:kern w:val="2"/>
          <w:sz w:val="32"/>
          <w:szCs w:val="32"/>
          <w:lang w:val="en-US" w:eastAsia="zh-CN" w:bidi="ar-SA"/>
        </w:rPr>
        <w:t>民大附属医院与旗蒙医医院签订了对口帮扶协议；</w:t>
      </w:r>
      <w:r>
        <w:rPr>
          <w:rFonts w:hint="eastAsia" w:ascii="仿宋_GB2312" w:hAnsi="仿宋_GB2312" w:eastAsia="仿宋_GB2312" w:cs="仿宋_GB2312"/>
          <w:b w:val="0"/>
          <w:bCs w:val="0"/>
          <w:color w:val="auto"/>
          <w:sz w:val="32"/>
          <w:szCs w:val="32"/>
          <w:lang w:val="en-US" w:eastAsia="zh-CN"/>
        </w:rPr>
        <w:t>目前</w:t>
      </w:r>
      <w:r>
        <w:rPr>
          <w:rFonts w:hint="eastAsia" w:ascii="仿宋_GB2312" w:hAnsi="仿宋_GB2312" w:eastAsia="仿宋_GB2312" w:cs="仿宋_GB2312"/>
          <w:color w:val="auto"/>
          <w:sz w:val="32"/>
          <w:szCs w:val="32"/>
          <w:lang w:val="en-US" w:eastAsia="zh-CN" w:bidi="ar"/>
        </w:rPr>
        <w:t>北京中医药大学东直门医院</w:t>
      </w:r>
      <w:r>
        <w:rPr>
          <w:rFonts w:hint="eastAsia" w:ascii="仿宋_GB2312" w:hAnsi="仿宋_GB2312" w:eastAsia="仿宋_GB2312" w:cs="仿宋_GB2312"/>
          <w:b w:val="0"/>
          <w:bCs w:val="0"/>
          <w:color w:val="auto"/>
          <w:sz w:val="32"/>
          <w:szCs w:val="32"/>
          <w:lang w:val="en-US" w:eastAsia="zh-CN"/>
        </w:rPr>
        <w:t>、民大附属医院各派驻1名专家到旗蒙医医院进行6个月以上的坐诊服务，通过教学查房、病例讨论、授课、门诊诊疗等方式带动</w:t>
      </w:r>
      <w:r>
        <w:rPr>
          <w:rFonts w:hint="eastAsia" w:ascii="仿宋_GB2312" w:hAnsi="仿宋_GB2312" w:eastAsia="仿宋_GB2312" w:cs="仿宋_GB2312"/>
          <w:color w:val="auto"/>
          <w:kern w:val="2"/>
          <w:sz w:val="32"/>
          <w:szCs w:val="32"/>
          <w:lang w:val="en-US" w:eastAsia="zh-CN" w:bidi="ar-SA"/>
        </w:rPr>
        <w:t>旗蒙医院的业务技术能力发展。旗内重点开展了优质资源服务基层派驻服务工作，派出半年期服务基层专业人员7人。争取7名通州区医疗专家到我旗开展6个月以上期带教、坐诊。</w:t>
      </w:r>
    </w:p>
    <w:p w14:paraId="33331FBF">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全力做好优化营商环境工作任务。</w:t>
      </w:r>
      <w:r>
        <w:rPr>
          <w:rFonts w:hint="eastAsia" w:ascii="仿宋_GB2312" w:hAnsi="仿宋_GB2312" w:eastAsia="仿宋_GB2312" w:cs="仿宋_GB2312"/>
          <w:b w:val="0"/>
          <w:bCs w:val="0"/>
          <w:color w:val="auto"/>
          <w:spacing w:val="-13"/>
          <w:sz w:val="32"/>
          <w:szCs w:val="32"/>
          <w:highlight w:val="none"/>
          <w:lang w:val="en-US" w:eastAsia="zh-CN"/>
        </w:rPr>
        <w:t>卫健系统优化营商环境任务共23项：提升任务共6项</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pacing w:val="-13"/>
          <w:sz w:val="32"/>
          <w:szCs w:val="32"/>
          <w:highlight w:val="none"/>
          <w:lang w:val="en-US" w:eastAsia="zh-CN"/>
        </w:rPr>
        <w:t>创新任务共2项</w:t>
      </w:r>
      <w:r>
        <w:rPr>
          <w:rFonts w:hint="eastAsia" w:ascii="仿宋_GB2312" w:hAnsi="仿宋_GB2312" w:eastAsia="仿宋_GB2312" w:cs="仿宋_GB2312"/>
          <w:b w:val="0"/>
          <w:bCs w:val="0"/>
          <w:color w:val="auto"/>
          <w:sz w:val="32"/>
          <w:szCs w:val="32"/>
          <w:highlight w:val="none"/>
        </w:rPr>
        <w:t>、宜居环境-公共医疗服务指标任务</w:t>
      </w:r>
      <w:r>
        <w:rPr>
          <w:rFonts w:hint="eastAsia" w:ascii="仿宋_GB2312" w:hAnsi="仿宋_GB2312" w:eastAsia="仿宋_GB2312" w:cs="仿宋_GB2312"/>
          <w:b w:val="0"/>
          <w:bCs w:val="0"/>
          <w:color w:val="auto"/>
          <w:spacing w:val="-13"/>
          <w:sz w:val="32"/>
          <w:szCs w:val="32"/>
          <w:highlight w:val="none"/>
          <w:lang w:val="en-US" w:eastAsia="zh-CN"/>
        </w:rPr>
        <w:t>共</w:t>
      </w:r>
      <w:r>
        <w:rPr>
          <w:rFonts w:hint="eastAsia" w:ascii="仿宋_GB2312" w:hAnsi="仿宋_GB2312" w:eastAsia="仿宋_GB2312" w:cs="仿宋_GB2312"/>
          <w:b w:val="0"/>
          <w:bCs w:val="0"/>
          <w:color w:val="auto"/>
          <w:sz w:val="32"/>
          <w:szCs w:val="32"/>
          <w:highlight w:val="none"/>
          <w:lang w:val="en-US" w:eastAsia="zh-CN"/>
        </w:rPr>
        <w:t>15项，各项指标任务均已完成。为全旗经济发展提供良好的卫生健康环境。重点开展</w:t>
      </w:r>
      <w:r>
        <w:rPr>
          <w:rFonts w:hint="eastAsia" w:ascii="仿宋_GB2312" w:hAnsi="仿宋_GB2312" w:eastAsia="仿宋_GB2312" w:cs="仿宋_GB2312"/>
          <w:b w:val="0"/>
          <w:bCs w:val="0"/>
          <w:color w:val="auto"/>
          <w:sz w:val="32"/>
          <w:szCs w:val="32"/>
          <w:lang w:eastAsia="zh-CN"/>
        </w:rPr>
        <w:t>培育亮点工作</w:t>
      </w:r>
      <w:r>
        <w:rPr>
          <w:rFonts w:hint="eastAsia" w:ascii="仿宋_GB2312" w:hAnsi="仿宋_GB2312" w:eastAsia="仿宋_GB2312" w:cs="仿宋_GB2312"/>
          <w:b w:val="0"/>
          <w:bCs w:val="0"/>
          <w:color w:val="auto"/>
          <w:sz w:val="32"/>
          <w:szCs w:val="32"/>
          <w:lang w:val="en-US" w:eastAsia="zh-CN"/>
        </w:rPr>
        <w:t>2项：旗直医疗机构帮扶基层卫生院促进优质医疗资源下沉、率先实施医疗卫生机构</w:t>
      </w:r>
      <w:r>
        <w:rPr>
          <w:rFonts w:hint="eastAsia" w:ascii="仿宋_GB2312" w:hAnsi="仿宋_GB2312" w:eastAsia="仿宋_GB2312" w:cs="仿宋_GB2312"/>
          <w:b w:val="0"/>
          <w:bCs w:val="0"/>
          <w:color w:val="auto"/>
          <w:kern w:val="2"/>
          <w:sz w:val="32"/>
          <w:szCs w:val="32"/>
          <w:lang w:val="en-US" w:eastAsia="zh-CN" w:bidi="ar-SA"/>
        </w:rPr>
        <w:t>6S管理工作。</w:t>
      </w:r>
    </w:p>
    <w:p w14:paraId="49021FA2">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4.加强安全生产管理。</w:t>
      </w:r>
      <w:r>
        <w:rPr>
          <w:rFonts w:hint="eastAsia" w:ascii="仿宋_GB2312" w:hAnsi="仿宋_GB2312" w:eastAsia="仿宋_GB2312" w:cs="仿宋_GB2312"/>
          <w:color w:val="auto"/>
          <w:sz w:val="32"/>
          <w:szCs w:val="32"/>
          <w:highlight w:val="none"/>
          <w:lang w:val="en-US" w:eastAsia="zh-CN"/>
        </w:rPr>
        <w:t>与全旗35家医疗机构签订了安全生产责任状，</w:t>
      </w:r>
      <w:r>
        <w:rPr>
          <w:rFonts w:hint="eastAsia" w:ascii="仿宋_GB2312" w:hAnsi="仿宋_GB2312" w:eastAsia="仿宋_GB2312" w:cs="仿宋_GB2312"/>
          <w:color w:val="auto"/>
          <w:spacing w:val="2"/>
          <w:sz w:val="32"/>
          <w:szCs w:val="32"/>
          <w:highlight w:val="none"/>
          <w:lang w:eastAsia="zh-CN"/>
        </w:rPr>
        <w:t>明确安全职责。采取委班子领导带队方式，成立</w:t>
      </w:r>
      <w:r>
        <w:rPr>
          <w:rFonts w:hint="eastAsia" w:ascii="仿宋_GB2312" w:hAnsi="Calibri" w:eastAsia="仿宋_GB2312" w:cs="Times New Roman"/>
          <w:b w:val="0"/>
          <w:bCs w:val="0"/>
          <w:color w:val="auto"/>
          <w:sz w:val="32"/>
          <w:szCs w:val="32"/>
          <w:highlight w:val="none"/>
          <w:lang w:val="en-US" w:eastAsia="zh-CN"/>
        </w:rPr>
        <w:t>5个督导组，</w:t>
      </w:r>
      <w:r>
        <w:rPr>
          <w:rFonts w:hint="eastAsia" w:ascii="仿宋_GB2312" w:hAnsi="Calibri" w:eastAsia="仿宋_GB2312" w:cs="Times New Roman"/>
          <w:color w:val="auto"/>
          <w:sz w:val="32"/>
          <w:szCs w:val="32"/>
          <w:highlight w:val="none"/>
          <w:lang w:eastAsia="zh-CN"/>
        </w:rPr>
        <w:t>对全旗</w:t>
      </w:r>
      <w:r>
        <w:rPr>
          <w:rFonts w:hint="eastAsia" w:ascii="仿宋_GB2312" w:hAnsi="Calibri" w:eastAsia="仿宋_GB2312" w:cs="Times New Roman"/>
          <w:color w:val="auto"/>
          <w:sz w:val="32"/>
          <w:szCs w:val="32"/>
          <w:highlight w:val="none"/>
          <w:lang w:val="en-US" w:eastAsia="zh-CN"/>
        </w:rPr>
        <w:t>35家</w:t>
      </w:r>
      <w:r>
        <w:rPr>
          <w:rFonts w:hint="eastAsia" w:ascii="仿宋_GB2312" w:hAnsi="Calibri" w:eastAsia="仿宋_GB2312" w:cs="Times New Roman"/>
          <w:color w:val="auto"/>
          <w:sz w:val="32"/>
          <w:szCs w:val="32"/>
          <w:highlight w:val="none"/>
          <w:lang w:eastAsia="zh-CN"/>
        </w:rPr>
        <w:t>医疗机构的</w:t>
      </w:r>
      <w:r>
        <w:rPr>
          <w:rFonts w:hint="eastAsia" w:ascii="仿宋_GB2312" w:hAnsi="Calibri" w:eastAsia="仿宋_GB2312" w:cs="Times New Roman"/>
          <w:color w:val="auto"/>
          <w:sz w:val="32"/>
          <w:szCs w:val="32"/>
          <w:highlight w:val="none"/>
        </w:rPr>
        <w:t>重点场所、</w:t>
      </w:r>
      <w:r>
        <w:rPr>
          <w:rFonts w:hint="eastAsia" w:ascii="仿宋_GB2312" w:hAnsi="Calibri" w:eastAsia="仿宋_GB2312" w:cs="Times New Roman"/>
          <w:color w:val="auto"/>
          <w:sz w:val="32"/>
          <w:szCs w:val="32"/>
          <w:highlight w:val="none"/>
          <w:lang w:eastAsia="zh-CN"/>
        </w:rPr>
        <w:t>重点科室</w:t>
      </w:r>
      <w:r>
        <w:rPr>
          <w:rFonts w:hint="eastAsia" w:ascii="仿宋_GB2312" w:hAnsi="Calibri" w:eastAsia="仿宋_GB2312" w:cs="Times New Roman"/>
          <w:color w:val="auto"/>
          <w:sz w:val="32"/>
          <w:szCs w:val="32"/>
          <w:highlight w:val="none"/>
        </w:rPr>
        <w:t>等开展</w:t>
      </w:r>
      <w:r>
        <w:rPr>
          <w:rFonts w:hint="eastAsia" w:ascii="仿宋_GB2312" w:hAnsi="Calibri" w:eastAsia="仿宋_GB2312" w:cs="Times New Roman"/>
          <w:color w:val="auto"/>
          <w:sz w:val="32"/>
          <w:szCs w:val="32"/>
          <w:highlight w:val="none"/>
          <w:lang w:eastAsia="zh-CN"/>
        </w:rPr>
        <w:t>安全生产隐患</w:t>
      </w:r>
      <w:r>
        <w:rPr>
          <w:rFonts w:hint="eastAsia" w:ascii="仿宋_GB2312" w:hAnsi="Calibri" w:eastAsia="仿宋_GB2312" w:cs="Times New Roman"/>
          <w:color w:val="auto"/>
          <w:sz w:val="32"/>
          <w:szCs w:val="32"/>
          <w:highlight w:val="none"/>
        </w:rPr>
        <w:t>排查</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lang w:val="en-US" w:eastAsia="zh-CN"/>
        </w:rPr>
        <w:t>共排查检查</w:t>
      </w:r>
      <w:r>
        <w:rPr>
          <w:rFonts w:hint="eastAsia" w:ascii="仿宋_GB2312" w:eastAsia="仿宋_GB2312" w:cs="Times New Roman"/>
          <w:color w:val="auto"/>
          <w:sz w:val="32"/>
          <w:szCs w:val="32"/>
          <w:highlight w:val="none"/>
          <w:lang w:val="en-US" w:eastAsia="zh-CN"/>
        </w:rPr>
        <w:t>6</w:t>
      </w:r>
      <w:r>
        <w:rPr>
          <w:rFonts w:hint="eastAsia" w:ascii="仿宋_GB2312" w:hAnsi="Calibri" w:eastAsia="仿宋_GB2312" w:cs="Times New Roman"/>
          <w:color w:val="auto"/>
          <w:sz w:val="32"/>
          <w:szCs w:val="32"/>
          <w:highlight w:val="none"/>
          <w:lang w:val="en-US" w:eastAsia="zh-CN"/>
        </w:rPr>
        <w:t>次</w:t>
      </w:r>
      <w:r>
        <w:rPr>
          <w:rFonts w:hint="eastAsia" w:ascii="仿宋_GB2312" w:hAnsi="Calibri" w:eastAsia="仿宋_GB2312" w:cs="Times New Roman"/>
          <w:color w:val="auto"/>
          <w:sz w:val="32"/>
          <w:szCs w:val="32"/>
          <w:highlight w:val="none"/>
          <w:lang w:eastAsia="zh-CN"/>
        </w:rPr>
        <w:t>，检查家次185次，发现问题共189条，已全部整改完成。</w:t>
      </w:r>
      <w:r>
        <w:rPr>
          <w:rFonts w:hint="eastAsia" w:ascii="仿宋_GB2312" w:hAnsi="Calibri" w:eastAsia="仿宋_GB2312" w:cs="Times New Roman"/>
          <w:color w:val="auto"/>
          <w:sz w:val="32"/>
          <w:szCs w:val="32"/>
          <w:highlight w:val="none"/>
          <w:lang w:val="en-US" w:eastAsia="zh-CN"/>
        </w:rPr>
        <w:t>在全旗35家医疗机构开展消防安全培训及应急疏散演练，切实增强安全生产与消防安全岗位人员安全防范和应急处置能力。加强宣传教育,在健康奈曼公众号宣传安全生产系列报道19条。</w:t>
      </w:r>
    </w:p>
    <w:p w14:paraId="1A660F6A">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b/>
          <w:bCs/>
          <w:color w:val="auto"/>
          <w:sz w:val="32"/>
          <w:szCs w:val="32"/>
          <w:highlight w:val="none"/>
          <w:lang w:val="en-US" w:eastAsia="zh-CN"/>
        </w:rPr>
        <w:t>5.加强信访维稳工作。</w:t>
      </w:r>
      <w:r>
        <w:rPr>
          <w:rFonts w:hint="eastAsia" w:ascii="仿宋_GB2312" w:hAnsi="Calibri" w:eastAsia="仿宋_GB2312" w:cs="Times New Roman"/>
          <w:color w:val="auto"/>
          <w:sz w:val="32"/>
          <w:szCs w:val="32"/>
          <w:highlight w:val="none"/>
          <w:lang w:val="en-US" w:eastAsia="zh-CN"/>
        </w:rPr>
        <w:t>年初以来，受理信访局转办信访件7件，已办结6件，正在办理1件，及时受理率100%。受理12345工单212件，已办结200件，做到第一时间签收，及时高效办理，做到件件有回音。通过加强行业作风、医德医风建设，积极排查医疗纠纷风险点，引导医患双方依法依规解决医疗纠纷。目前，我系统12345工单数量明显减少，群众满意率不断提高，接到12345群众表扬工单25件。</w:t>
      </w:r>
    </w:p>
    <w:p w14:paraId="7446F139">
      <w:pPr>
        <w:keepNext w:val="0"/>
        <w:keepLines w:val="0"/>
        <w:pageBreakBefore w:val="0"/>
        <w:widowControl w:val="0"/>
        <w:numPr>
          <w:ilvl w:val="0"/>
          <w:numId w:val="0"/>
        </w:numPr>
        <w:pBdr>
          <w:bottom w:val="single" w:color="FFFFFF" w:sz="4" w:space="22"/>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6.加强医疗领域群众身边腐败问题集中整治。</w:t>
      </w:r>
      <w:r>
        <w:rPr>
          <w:rFonts w:hint="eastAsia" w:ascii="仿宋_GB2312" w:hAnsi="仿宋_GB2312" w:eastAsia="仿宋_GB2312" w:cs="仿宋_GB2312"/>
          <w:color w:val="auto"/>
          <w:sz w:val="32"/>
          <w:szCs w:val="32"/>
        </w:rPr>
        <w:t>持续开展</w:t>
      </w:r>
      <w:r>
        <w:rPr>
          <w:rFonts w:hint="eastAsia" w:ascii="仿宋_GB2312" w:hAnsi="仿宋_GB2312" w:eastAsia="仿宋_GB2312" w:cs="仿宋_GB2312"/>
          <w:color w:val="auto"/>
          <w:sz w:val="32"/>
          <w:szCs w:val="32"/>
          <w:lang w:val="en-US" w:eastAsia="zh-CN"/>
        </w:rPr>
        <w:t>医药领域腐败问题集中整治工作。通过观看警示教育片、集中学习、讲述典型案例等形式开展警示教育活动50次累计参与2600人次。受理医疗服务态度方面问题举报1件，已完成整治。卫生健康系统拒收红包3个，共计2000元，已全部为患者缴纳住院费并告知患者。</w:t>
      </w:r>
    </w:p>
    <w:p w14:paraId="27D221CB">
      <w:pPr>
        <w:keepNext w:val="0"/>
        <w:keepLines w:val="0"/>
        <w:pageBreakBefore w:val="0"/>
        <w:widowControl w:val="0"/>
        <w:numPr>
          <w:ilvl w:val="0"/>
          <w:numId w:val="0"/>
        </w:numPr>
        <w:pBdr>
          <w:bottom w:val="single" w:color="FFFFFF" w:sz="4" w:space="22"/>
        </w:pBdr>
        <w:tabs>
          <w:tab w:val="left" w:pos="1440"/>
        </w:tabs>
        <w:kinsoku w:val="0"/>
        <w:wordWrap/>
        <w:overflowPunct w:val="0"/>
        <w:topLinePunct/>
        <w:autoSpaceDE w:val="0"/>
        <w:autoSpaceDN w:val="0"/>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sz w:val="32"/>
          <w:szCs w:val="32"/>
        </w:rPr>
        <w:t>二、</w:t>
      </w:r>
      <w:r>
        <w:rPr>
          <w:rFonts w:hint="eastAsia" w:ascii="黑体" w:hAnsi="黑体" w:eastAsia="黑体" w:cs="黑体"/>
          <w:color w:val="auto"/>
          <w:kern w:val="0"/>
          <w:sz w:val="32"/>
          <w:szCs w:val="32"/>
        </w:rPr>
        <w:t>存在的困难和问题</w:t>
      </w:r>
    </w:p>
    <w:p w14:paraId="4FF21713">
      <w:pPr>
        <w:keepNext w:val="0"/>
        <w:keepLines w:val="0"/>
        <w:pageBreakBefore w:val="0"/>
        <w:widowControl w:val="0"/>
        <w:numPr>
          <w:ilvl w:val="0"/>
          <w:numId w:val="0"/>
        </w:numPr>
        <w:pBdr>
          <w:bottom w:val="single" w:color="FFFFFF" w:sz="4" w:space="22"/>
        </w:pBdr>
        <w:tabs>
          <w:tab w:val="left" w:pos="1440"/>
        </w:tabs>
        <w:kinsoku w:val="0"/>
        <w:wordWrap/>
        <w:overflowPunct w:val="0"/>
        <w:topLinePunct/>
        <w:autoSpaceDE w:val="0"/>
        <w:autoSpaceDN w:val="0"/>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一是</w:t>
      </w:r>
      <w:r>
        <w:rPr>
          <w:rFonts w:hint="eastAsia" w:ascii="仿宋_GB2312" w:hAnsi="仿宋_GB2312" w:eastAsia="仿宋_GB2312"/>
          <w:b/>
          <w:bCs/>
          <w:sz w:val="32"/>
          <w:szCs w:val="32"/>
        </w:rPr>
        <w:t>卫生技术人才缺乏。</w:t>
      </w:r>
      <w:r>
        <w:rPr>
          <w:rFonts w:hint="eastAsia" w:ascii="仿宋_GB2312" w:hAnsi="仿宋_GB2312" w:eastAsia="仿宋_GB2312" w:cs="仿宋_GB2312"/>
          <w:kern w:val="2"/>
          <w:sz w:val="32"/>
          <w:szCs w:val="32"/>
          <w:lang w:val="en-US" w:eastAsia="zh-CN" w:bidi="ar-SA"/>
        </w:rPr>
        <w:t>医学尖端领域的重点学科和专科建设与国内发达地区相比差距较大，缺乏高层次卫生技术人才，特别是群众认可的权威专家。中医药（蒙医药）</w:t>
      </w:r>
      <w:r>
        <w:rPr>
          <w:rFonts w:hint="eastAsia" w:ascii="仿宋_GB2312" w:hAnsi="仿宋_GB2312" w:eastAsia="仿宋_GB2312" w:cs="仿宋_GB2312"/>
          <w:kern w:val="2"/>
          <w:sz w:val="32"/>
          <w:szCs w:val="32"/>
          <w:lang w:val="zh-CN" w:eastAsia="zh-CN" w:bidi="ar-SA"/>
        </w:rPr>
        <w:t>人才队伍还不够完善，</w:t>
      </w:r>
      <w:r>
        <w:rPr>
          <w:rFonts w:hint="eastAsia" w:ascii="仿宋_GB2312" w:hAnsi="仿宋_GB2312" w:eastAsia="仿宋_GB2312" w:cs="仿宋_GB2312"/>
          <w:kern w:val="2"/>
          <w:sz w:val="32"/>
          <w:szCs w:val="32"/>
          <w:lang w:val="en-US" w:eastAsia="zh-CN" w:bidi="ar-SA"/>
        </w:rPr>
        <w:t>特别是基层卫生院，已建馆单位中中医类别执业（助理）医师数量不足。</w:t>
      </w:r>
    </w:p>
    <w:p w14:paraId="5FB36625">
      <w:pPr>
        <w:keepNext w:val="0"/>
        <w:keepLines w:val="0"/>
        <w:pageBreakBefore w:val="0"/>
        <w:widowControl w:val="0"/>
        <w:numPr>
          <w:ilvl w:val="0"/>
          <w:numId w:val="0"/>
        </w:numPr>
        <w:pBdr>
          <w:bottom w:val="single" w:color="FFFFFF" w:sz="4" w:space="22"/>
        </w:pBdr>
        <w:tabs>
          <w:tab w:val="left" w:pos="1440"/>
        </w:tabs>
        <w:kinsoku w:val="0"/>
        <w:wordWrap/>
        <w:overflowPunct w:val="0"/>
        <w:topLinePunct/>
        <w:autoSpaceDE w:val="0"/>
        <w:autoSpaceDN w:val="0"/>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是乡村医生队伍服务水平整体偏低。</w:t>
      </w:r>
      <w:r>
        <w:rPr>
          <w:rFonts w:hint="eastAsia" w:ascii="仿宋_GB2312" w:hAnsi="仿宋_GB2312" w:eastAsia="仿宋_GB2312" w:cs="仿宋_GB2312"/>
          <w:kern w:val="2"/>
          <w:sz w:val="32"/>
          <w:szCs w:val="32"/>
          <w:lang w:val="en-US" w:eastAsia="zh-CN" w:bidi="ar-SA"/>
        </w:rPr>
        <w:t>大部分村医年龄偏大、学历偏低，造成卫生室信息化水平难以提高，不能适应新时期乡村医生关口前移的基本公共卫生和签约服务等新模式的需求。另外，乡村医生缺乏社会保障，退出机制不完善，造成村级医生的积极性不高。</w:t>
      </w:r>
    </w:p>
    <w:p w14:paraId="18CE5D12">
      <w:pPr>
        <w:keepNext w:val="0"/>
        <w:keepLines w:val="0"/>
        <w:pageBreakBefore w:val="0"/>
        <w:widowControl w:val="0"/>
        <w:numPr>
          <w:ilvl w:val="0"/>
          <w:numId w:val="0"/>
        </w:numPr>
        <w:pBdr>
          <w:bottom w:val="single" w:color="FFFFFF" w:sz="4" w:space="22"/>
        </w:pBdr>
        <w:tabs>
          <w:tab w:val="left" w:pos="1440"/>
        </w:tabs>
        <w:kinsoku w:val="0"/>
        <w:wordWrap/>
        <w:overflowPunct w:val="0"/>
        <w:topLinePunct/>
        <w:autoSpaceDE w:val="0"/>
        <w:autoSpaceDN w:val="0"/>
        <w:bidi w:val="0"/>
        <w:adjustRightInd w:val="0"/>
        <w:snapToGrid w:val="0"/>
        <w:spacing w:line="560" w:lineRule="exact"/>
        <w:ind w:right="0" w:rightChars="0" w:firstLine="643" w:firstLineChars="200"/>
        <w:jc w:val="both"/>
        <w:textAlignment w:val="auto"/>
        <w:outlineLvl w:val="9"/>
        <w:rPr>
          <w:rStyle w:val="19"/>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是婴幼儿照护和老龄健康工作需进一步加强。</w:t>
      </w:r>
      <w:r>
        <w:rPr>
          <w:rStyle w:val="19"/>
          <w:rFonts w:hint="eastAsia" w:ascii="仿宋_GB2312" w:hAnsi="仿宋_GB2312" w:eastAsia="仿宋_GB2312" w:cs="仿宋_GB2312"/>
          <w:sz w:val="32"/>
          <w:szCs w:val="32"/>
        </w:rPr>
        <w:t>婴幼儿照护服务刚刚起步，顶层设计还不够完善，各部门权责划分不清晰，现有</w:t>
      </w:r>
      <w:r>
        <w:rPr>
          <w:rStyle w:val="19"/>
          <w:rFonts w:hint="eastAsia" w:ascii="仿宋_GB2312" w:hAnsi="仿宋_GB2312" w:eastAsia="仿宋_GB2312" w:cs="仿宋_GB2312"/>
          <w:sz w:val="32"/>
          <w:szCs w:val="32"/>
          <w:lang w:val="en-US" w:eastAsia="zh-CN"/>
        </w:rPr>
        <w:t>托育</w:t>
      </w:r>
      <w:r>
        <w:rPr>
          <w:rStyle w:val="19"/>
          <w:rFonts w:hint="eastAsia" w:ascii="仿宋_GB2312" w:hAnsi="仿宋_GB2312" w:eastAsia="仿宋_GB2312" w:cs="仿宋_GB2312"/>
          <w:sz w:val="32"/>
          <w:szCs w:val="32"/>
        </w:rPr>
        <w:t>服务资源与群众需求还有很大差距，民办托育机构普惠性认定缺乏细致有效的标准，0-3周岁婴幼儿早期教育师资力量薄弱，专业人才缺口大。</w:t>
      </w:r>
      <w:r>
        <w:rPr>
          <w:rStyle w:val="19"/>
          <w:rFonts w:hint="eastAsia" w:ascii="仿宋_GB2312" w:hAnsi="仿宋_GB2312" w:eastAsia="仿宋_GB2312" w:cs="仿宋_GB2312"/>
          <w:sz w:val="32"/>
          <w:szCs w:val="32"/>
          <w:lang w:eastAsia="zh-CN"/>
        </w:rPr>
        <w:t>老龄健康工作的体系还不够完善，</w:t>
      </w:r>
      <w:r>
        <w:rPr>
          <w:rFonts w:hint="eastAsia" w:ascii="仿宋_GB2312" w:hAnsi="仿宋_GB2312" w:eastAsia="仿宋_GB2312" w:cs="仿宋_GB2312"/>
          <w:sz w:val="32"/>
          <w:szCs w:val="32"/>
          <w:lang w:eastAsia="zh-CN"/>
        </w:rPr>
        <w:t>医养融合程度总体不高，医疗机构长护资源稀缺</w:t>
      </w:r>
      <w:r>
        <w:rPr>
          <w:rStyle w:val="19"/>
          <w:rFonts w:hint="eastAsia" w:ascii="仿宋_GB2312" w:hAnsi="仿宋_GB2312" w:eastAsia="仿宋_GB2312" w:cs="仿宋_GB2312"/>
          <w:sz w:val="32"/>
          <w:szCs w:val="32"/>
        </w:rPr>
        <w:t>。</w:t>
      </w:r>
    </w:p>
    <w:p w14:paraId="43556987">
      <w:pPr>
        <w:keepNext w:val="0"/>
        <w:keepLines w:val="0"/>
        <w:pageBreakBefore w:val="0"/>
        <w:widowControl w:val="0"/>
        <w:numPr>
          <w:ilvl w:val="0"/>
          <w:numId w:val="0"/>
        </w:numPr>
        <w:pBdr>
          <w:bottom w:val="single" w:color="FFFFFF" w:sz="4" w:space="22"/>
        </w:pBdr>
        <w:tabs>
          <w:tab w:val="left" w:pos="1440"/>
        </w:tabs>
        <w:kinsoku w:val="0"/>
        <w:wordWrap/>
        <w:overflowPunct w:val="0"/>
        <w:topLinePunct/>
        <w:autoSpaceDE w:val="0"/>
        <w:autoSpaceDN w:val="0"/>
        <w:bidi w:val="0"/>
        <w:adjustRightInd w:val="0"/>
        <w:snapToGrid w:val="0"/>
        <w:spacing w:line="560" w:lineRule="exact"/>
        <w:ind w:right="0" w:rightChars="0" w:firstLine="643" w:firstLineChars="200"/>
        <w:jc w:val="both"/>
        <w:textAlignment w:val="auto"/>
        <w:outlineLvl w:val="9"/>
        <w:rPr>
          <w:rStyle w:val="19"/>
          <w:rFonts w:hint="eastAsia" w:ascii="仿宋_GB2312" w:hAnsi="仿宋_GB2312" w:eastAsia="仿宋_GB2312" w:cs="仿宋_GB2312"/>
          <w:color w:val="auto"/>
          <w:sz w:val="32"/>
          <w:szCs w:val="32"/>
          <w:lang w:val="en-US"/>
        </w:rPr>
      </w:pPr>
      <w:r>
        <w:rPr>
          <w:rStyle w:val="19"/>
          <w:rFonts w:hint="eastAsia" w:ascii="仿宋_GB2312" w:hAnsi="仿宋_GB2312" w:eastAsia="仿宋_GB2312" w:cs="仿宋_GB2312"/>
          <w:b/>
          <w:bCs/>
          <w:color w:val="auto"/>
          <w:sz w:val="32"/>
          <w:szCs w:val="32"/>
          <w:lang w:val="en-US"/>
        </w:rPr>
        <w:t>四是基本公共卫生经费未拨付。</w:t>
      </w:r>
      <w:r>
        <w:rPr>
          <w:rStyle w:val="19"/>
          <w:rFonts w:hint="eastAsia" w:ascii="仿宋_GB2312" w:hAnsi="仿宋_GB2312" w:eastAsia="仿宋_GB2312" w:cs="仿宋_GB2312"/>
          <w:color w:val="auto"/>
          <w:sz w:val="32"/>
          <w:szCs w:val="32"/>
          <w:lang w:val="en-US"/>
        </w:rPr>
        <w:t>目前财政欠2022年至2024年，基本公共卫生服务经费卫生院部分近3500万元未予拨付；基本公共卫生服务经费未按时间节点拨付，严重制约了基本公共卫生工作深入展开，严重影响基本公共卫生服务质量。</w:t>
      </w:r>
    </w:p>
    <w:p w14:paraId="3BBFB5F0">
      <w:pPr>
        <w:keepNext w:val="0"/>
        <w:keepLines w:val="0"/>
        <w:pageBreakBefore w:val="0"/>
        <w:widowControl w:val="0"/>
        <w:numPr>
          <w:ilvl w:val="0"/>
          <w:numId w:val="0"/>
        </w:numPr>
        <w:pBdr>
          <w:bottom w:val="single" w:color="FFFFFF" w:sz="4" w:space="22"/>
        </w:pBdr>
        <w:tabs>
          <w:tab w:val="left" w:pos="1440"/>
        </w:tabs>
        <w:kinsoku w:val="0"/>
        <w:wordWrap/>
        <w:overflowPunct w:val="0"/>
        <w:topLinePunct/>
        <w:autoSpaceDE w:val="0"/>
        <w:autoSpaceDN w:val="0"/>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三、202</w:t>
      </w:r>
      <w:r>
        <w:rPr>
          <w:rFonts w:hint="eastAsia" w:ascii="黑体" w:hAnsi="黑体" w:eastAsia="黑体" w:cs="黑体"/>
          <w:color w:val="auto"/>
          <w:sz w:val="32"/>
          <w:szCs w:val="32"/>
          <w:lang w:val="en-US" w:eastAsia="zh-CN"/>
        </w:rPr>
        <w:t>5年度</w:t>
      </w:r>
      <w:r>
        <w:rPr>
          <w:rFonts w:hint="eastAsia" w:ascii="黑体" w:hAnsi="黑体" w:eastAsia="黑体" w:cs="黑体"/>
          <w:color w:val="auto"/>
          <w:sz w:val="32"/>
          <w:szCs w:val="32"/>
        </w:rPr>
        <w:t>工作安排</w:t>
      </w:r>
    </w:p>
    <w:p w14:paraId="68729A32">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2025年，我委将在健康奈曼建设、卫生健康事业改革创新、医疗服务能力提升、公共卫生服务、医疗卫生队伍建设等方面持续发力，抓好各项工作落实，确保圆满完成全年工作任务。</w:t>
      </w:r>
    </w:p>
    <w:p w14:paraId="2465E25B">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bCs/>
          <w:color w:val="auto"/>
          <w:sz w:val="32"/>
          <w:szCs w:val="32"/>
          <w:highlight w:val="none"/>
          <w:lang w:val="en-US" w:eastAsia="zh-CN"/>
        </w:rPr>
        <w:t>深入推进公立医院运营管理。</w:t>
      </w:r>
      <w:r>
        <w:rPr>
          <w:rFonts w:hint="eastAsia" w:ascii="仿宋_GB2312" w:hAnsi="仿宋_GB2312" w:eastAsia="仿宋_GB2312" w:cs="仿宋_GB2312"/>
          <w:b w:val="0"/>
          <w:bCs w:val="0"/>
          <w:color w:val="auto"/>
          <w:sz w:val="32"/>
          <w:szCs w:val="32"/>
          <w:highlight w:val="none"/>
          <w:lang w:val="en-US" w:eastAsia="zh-CN"/>
        </w:rPr>
        <w:t>深化人事薪酬制度改革，探索实施编制备案制，落实公立医院用人自主权和“同岗同薪同待遇”。加强公立医院成本管理，摸清债务底数，科学制定化债方案，基本实现收支平衡要求。持续开展公立医疗机构经济管理年活动，加强大型医用设备配置管理。对所属医院开展内部审计全覆盖。加强公立医院绩效管理，制定完善内部绩效考核方案，力争二级公立医院绩效考核晋位升级。</w:t>
      </w:r>
      <w:r>
        <w:rPr>
          <w:rFonts w:hint="eastAsia" w:ascii="仿宋_GB2312" w:hAnsi="仿宋_GB2312" w:eastAsia="仿宋_GB2312" w:cs="仿宋_GB2312"/>
          <w:b w:val="0"/>
          <w:bCs w:val="0"/>
          <w:kern w:val="0"/>
          <w:sz w:val="32"/>
          <w:szCs w:val="32"/>
          <w:shd w:val="clear" w:color="auto" w:fill="FFFFFF"/>
          <w:lang w:bidi="ar"/>
        </w:rPr>
        <w:t>规范医疗服务行为。</w:t>
      </w:r>
      <w:r>
        <w:rPr>
          <w:rFonts w:hint="eastAsia" w:ascii="仿宋_GB2312" w:hAnsi="仿宋_GB2312" w:eastAsia="仿宋_GB2312" w:cs="仿宋_GB2312"/>
          <w:b w:val="0"/>
          <w:bCs w:val="0"/>
          <w:kern w:val="2"/>
          <w:sz w:val="32"/>
          <w:szCs w:val="32"/>
          <w:lang w:val="en-US" w:eastAsia="zh-CN" w:bidi="ar-SA"/>
        </w:rPr>
        <w:t>重点做好预约诊疗、远程医疗等制度建设，组织开展满意度调查。</w:t>
      </w:r>
    </w:p>
    <w:p w14:paraId="393E6BFF">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2.深入推进医共体建设工作。</w:t>
      </w:r>
      <w:r>
        <w:rPr>
          <w:rFonts w:hint="eastAsia" w:ascii="仿宋_GB2312" w:hAnsi="仿宋_GB2312" w:eastAsia="仿宋_GB2312" w:cs="仿宋_GB2312"/>
          <w:b w:val="0"/>
          <w:bCs/>
          <w:color w:val="auto"/>
          <w:sz w:val="32"/>
          <w:szCs w:val="32"/>
          <w:lang w:val="en-US" w:eastAsia="zh-CN"/>
        </w:rPr>
        <w:t>在完善政策支持的同时加大财政投入，从高质量推进信息化建设、推进医保支付方式改革等方面发力，按照医共体建设任务要求，压实工作责任，明确时间节点，确保我旗医共体各项目标任务如期全面落实。</w:t>
      </w:r>
    </w:p>
    <w:p w14:paraId="42702542">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color w:val="auto"/>
          <w:sz w:val="32"/>
          <w:szCs w:val="32"/>
          <w:lang w:eastAsia="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做好疾病防控工作。</w:t>
      </w:r>
      <w:r>
        <w:rPr>
          <w:rFonts w:hint="eastAsia" w:ascii="仿宋_GB2312" w:eastAsia="仿宋_GB2312"/>
          <w:color w:val="auto"/>
          <w:sz w:val="32"/>
          <w:szCs w:val="32"/>
          <w:lang w:eastAsia="zh-CN"/>
        </w:rPr>
        <w:t>积极落实疾控体系改革各项措施，推进医防结合、医防融合深入开展。按照上级要求完成传染病监测预警与应急指挥信息平台建设。完成二级以上医疗机构及部分有条件的乡镇卫生院公共卫生科规范化建设。强化基层医疗机构公共卫生队伍管理，推进医疗卫生单位公共卫生医师配备工作。继续加强免疫规划工作</w:t>
      </w:r>
      <w:r>
        <w:rPr>
          <w:rFonts w:hint="eastAsia" w:ascii="仿宋_GB2312" w:eastAsia="仿宋_GB2312"/>
          <w:color w:val="auto"/>
          <w:sz w:val="32"/>
          <w:szCs w:val="32"/>
          <w:lang w:eastAsia="zh-CN"/>
        </w:rPr>
        <w:t>和鼠疫、新冠病毒感染、流感、百日咳、诺如病毒感染、艾滋病、结核病等传染病的报告和管理，不断提高流行病学调查、实验室检测、疾病筛查和干预能力。推进自治区“无核社区”创建工作。依托项目工作，不断提升慢性病防控能力。</w:t>
      </w:r>
    </w:p>
    <w:p w14:paraId="6AAAA547">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kern w:val="0"/>
          <w:sz w:val="32"/>
          <w:szCs w:val="32"/>
          <w:shd w:val="clear" w:color="auto" w:fill="FFFFFF"/>
          <w:lang w:bidi="ar"/>
        </w:rPr>
        <w:t>规范医疗服务行为。</w:t>
      </w:r>
      <w:r>
        <w:rPr>
          <w:rFonts w:hint="eastAsia" w:ascii="仿宋_GB2312" w:hAnsi="仿宋_GB2312" w:eastAsia="仿宋_GB2312" w:cs="仿宋_GB2312"/>
          <w:color w:val="auto"/>
          <w:kern w:val="2"/>
          <w:sz w:val="32"/>
          <w:szCs w:val="32"/>
          <w:lang w:val="en-US" w:eastAsia="zh-CN" w:bidi="ar-SA"/>
        </w:rPr>
        <w:t>重点做好预约诊疗、远程医疗等制度建设，组织开展满意度调查。严格病案管理，提高医疗服务标准化水平和管理效率。</w:t>
      </w:r>
      <w:r>
        <w:rPr>
          <w:rFonts w:hint="eastAsia" w:ascii="仿宋_GB2312" w:hAnsi="仿宋_GB2312" w:eastAsia="仿宋_GB2312" w:cs="仿宋_GB2312"/>
          <w:b w:val="0"/>
          <w:bCs w:val="0"/>
          <w:color w:val="auto"/>
          <w:sz w:val="32"/>
          <w:szCs w:val="32"/>
        </w:rPr>
        <w:t>积极开展优化医疗服务流程、改善医疗服务行动。成立入出院服务中心，整合护理、财务、医保和药房等科室同步办理相关业务，优化服务流程，减少繁杂流程和环节</w:t>
      </w:r>
      <w:r>
        <w:rPr>
          <w:rFonts w:hint="eastAsia" w:ascii="仿宋_GB2312" w:hAnsi="仿宋_GB2312" w:eastAsia="仿宋_GB2312" w:cs="仿宋_GB2312"/>
          <w:b w:val="0"/>
          <w:bCs w:val="0"/>
          <w:color w:val="auto"/>
          <w:sz w:val="32"/>
          <w:szCs w:val="32"/>
          <w:lang w:eastAsia="zh-CN"/>
        </w:rPr>
        <w:t>，为患者提供</w:t>
      </w:r>
      <w:r>
        <w:rPr>
          <w:rFonts w:hint="eastAsia" w:ascii="仿宋_GB2312" w:hAnsi="仿宋_GB2312" w:eastAsia="仿宋_GB2312" w:cs="仿宋_GB2312"/>
          <w:b w:val="0"/>
          <w:bCs w:val="0"/>
          <w:color w:val="auto"/>
          <w:sz w:val="32"/>
          <w:szCs w:val="32"/>
        </w:rPr>
        <w:t>简便、快捷、优质的医疗服务，让患者少等一分钟、少排一次队、少跑一次路，提升患者看病就医满意度。</w:t>
      </w:r>
    </w:p>
    <w:p w14:paraId="07B788F1">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优化医疗服务质量。</w:t>
      </w:r>
      <w:r>
        <w:rPr>
          <w:rFonts w:hint="eastAsia" w:ascii="仿宋_GB2312" w:hAnsi="仿宋_GB2312" w:eastAsia="仿宋_GB2312" w:cs="仿宋_GB2312"/>
          <w:color w:val="auto"/>
          <w:sz w:val="32"/>
          <w:szCs w:val="32"/>
          <w:lang w:val="en-US" w:eastAsia="zh-CN"/>
        </w:rPr>
        <w:t>加强临床重点专科建设，根据服务人口、疾病谱和本旗患者区外诊疗需求等因素，按照“填平补齐”原则，强化重点专科。以内科、外科、妇产科、儿科等一级诊疗科目为核心，重点提升对旗域内常见病、多发病以及地方病的诊疗能力。</w:t>
      </w:r>
      <w:r>
        <w:rPr>
          <w:rFonts w:hint="eastAsia" w:ascii="仿宋_GB2312" w:hAnsi="仿宋_GB2312" w:eastAsia="仿宋_GB2312" w:cs="仿宋_GB2312"/>
          <w:color w:val="auto"/>
          <w:kern w:val="2"/>
          <w:sz w:val="32"/>
          <w:szCs w:val="32"/>
          <w:lang w:val="en-US" w:eastAsia="zh-CN" w:bidi="ar-SA"/>
        </w:rPr>
        <w:t>深化优质护理服务并开展评价工作，加强护士人力配置及管理，逐步推进护士岗位管理及绩效考核。</w:t>
      </w:r>
    </w:p>
    <w:p w14:paraId="18D19F20">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加强公共卫生服务工作。</w:t>
      </w:r>
      <w:r>
        <w:rPr>
          <w:rFonts w:hint="eastAsia" w:ascii="仿宋_GB2312" w:hAnsi="仿宋_GB2312" w:eastAsia="仿宋_GB2312" w:cs="仿宋_GB2312"/>
          <w:color w:val="auto"/>
          <w:spacing w:val="0"/>
          <w:kern w:val="0"/>
          <w:sz w:val="32"/>
          <w:szCs w:val="32"/>
          <w:lang w:eastAsia="zh-CN"/>
        </w:rPr>
        <w:t>发挥旗人民医院</w:t>
      </w:r>
      <w:r>
        <w:rPr>
          <w:rFonts w:hint="eastAsia" w:ascii="仿宋_GB2312" w:hAnsi="仿宋_GB2312" w:eastAsia="仿宋_GB2312" w:cs="仿宋_GB2312"/>
          <w:color w:val="auto"/>
          <w:spacing w:val="0"/>
          <w:kern w:val="0"/>
          <w:sz w:val="32"/>
          <w:szCs w:val="32"/>
          <w:lang w:val="en-US" w:eastAsia="zh-CN"/>
        </w:rPr>
        <w:t>牵头医院引领作用</w:t>
      </w:r>
      <w:r>
        <w:rPr>
          <w:rFonts w:hint="eastAsia" w:ascii="仿宋_GB2312" w:hAnsi="仿宋_GB2312" w:eastAsia="仿宋_GB2312" w:cs="仿宋_GB2312"/>
          <w:color w:val="auto"/>
          <w:spacing w:val="0"/>
          <w:kern w:val="0"/>
          <w:sz w:val="32"/>
          <w:szCs w:val="32"/>
        </w:rPr>
        <w:t>，通过坐诊、巡诊、查房、远程会诊等方式，</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基层医疗卫生机构</w:t>
      </w:r>
      <w:r>
        <w:rPr>
          <w:rFonts w:hint="eastAsia" w:ascii="仿宋_GB2312" w:hAnsi="仿宋_GB2312" w:eastAsia="仿宋_GB2312" w:cs="仿宋_GB2312"/>
          <w:color w:val="auto"/>
          <w:sz w:val="32"/>
          <w:szCs w:val="32"/>
        </w:rPr>
        <w:t>“一院一品”特色发展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color w:val="auto"/>
          <w:sz w:val="32"/>
          <w:szCs w:val="32"/>
          <w:lang w:eastAsia="zh-CN"/>
        </w:rPr>
        <w:t>八仙筒、青龙山两家中心卫生院县域医疗次中心建设，</w:t>
      </w:r>
      <w:r>
        <w:rPr>
          <w:rFonts w:hint="eastAsia" w:ascii="仿宋_GB2312" w:hAnsi="仿宋_GB2312" w:eastAsia="仿宋_GB2312" w:cs="仿宋_GB2312"/>
          <w:color w:val="auto"/>
          <w:sz w:val="32"/>
          <w:szCs w:val="32"/>
          <w:lang w:val="en-US" w:eastAsia="zh-CN"/>
        </w:rPr>
        <w:t>加快沙日浩来卫生院口腔、蒙医特色专科，治安卫生院糖尿病特色专科，新镇卫生院骨科，平安地、得胜、白音昌卫生院中医科等一批</w:t>
      </w:r>
      <w:r>
        <w:rPr>
          <w:rFonts w:hint="eastAsia" w:ascii="仿宋_GB2312" w:hAnsi="仿宋_GB2312" w:eastAsia="仿宋_GB2312" w:cs="仿宋_GB2312"/>
          <w:color w:val="auto"/>
          <w:sz w:val="32"/>
          <w:szCs w:val="32"/>
        </w:rPr>
        <w:t>有区域特色的专科群</w:t>
      </w:r>
      <w:r>
        <w:rPr>
          <w:rFonts w:hint="eastAsia" w:ascii="仿宋_GB2312" w:hAnsi="仿宋_GB2312" w:eastAsia="仿宋_GB2312" w:cs="仿宋_GB2312"/>
          <w:color w:val="auto"/>
          <w:sz w:val="32"/>
          <w:szCs w:val="32"/>
          <w:lang w:val="en-US" w:eastAsia="zh-CN"/>
        </w:rPr>
        <w:t>形成，</w:t>
      </w:r>
      <w:r>
        <w:rPr>
          <w:rFonts w:hint="eastAsia" w:ascii="仿宋_GB2312" w:hAnsi="仿宋_GB2312" w:eastAsia="仿宋_GB2312" w:cs="仿宋_GB2312"/>
          <w:color w:val="auto"/>
          <w:sz w:val="32"/>
          <w:szCs w:val="32"/>
        </w:rPr>
        <w:t>为紧密型县域医共体建设实现分级诊疗奠定基础</w:t>
      </w:r>
      <w:r>
        <w:rPr>
          <w:rFonts w:hint="eastAsia" w:ascii="仿宋_GB2312" w:hAnsi="仿宋_GB2312" w:eastAsia="仿宋_GB2312" w:cs="仿宋_GB2312"/>
          <w:color w:val="auto"/>
          <w:sz w:val="32"/>
          <w:szCs w:val="32"/>
          <w:lang w:eastAsia="zh-CN"/>
        </w:rPr>
        <w:t>。</w:t>
      </w:r>
    </w:p>
    <w:p w14:paraId="276366D9">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hAnsi="仿宋_GB2312" w:eastAsia="仿宋_GB2312" w:cs="仿宋_GB2312"/>
          <w:b/>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提升中</w:t>
      </w:r>
      <w:r>
        <w:rPr>
          <w:rFonts w:hint="eastAsia" w:ascii="仿宋_GB2312" w:hAnsi="仿宋_GB2312" w:eastAsia="仿宋_GB2312" w:cs="仿宋_GB2312"/>
          <w:b/>
          <w:bCs/>
          <w:color w:val="auto"/>
          <w:sz w:val="32"/>
          <w:szCs w:val="32"/>
          <w:lang w:eastAsia="zh-CN"/>
        </w:rPr>
        <w:t>医（</w:t>
      </w:r>
      <w:r>
        <w:rPr>
          <w:rFonts w:hint="eastAsia" w:ascii="仿宋_GB2312" w:hAnsi="仿宋_GB2312" w:eastAsia="仿宋_GB2312" w:cs="仿宋_GB2312"/>
          <w:b/>
          <w:bCs/>
          <w:color w:val="auto"/>
          <w:sz w:val="32"/>
          <w:szCs w:val="32"/>
        </w:rPr>
        <w:t>蒙医</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服务能力建设。</w:t>
      </w:r>
      <w:r>
        <w:rPr>
          <w:rFonts w:hint="eastAsia" w:ascii="仿宋_GB2312" w:hAnsi="仿宋_GB2312" w:eastAsia="仿宋_GB2312" w:cs="仿宋_GB2312"/>
          <w:b w:val="0"/>
          <w:bCs/>
          <w:color w:val="auto"/>
          <w:kern w:val="2"/>
          <w:sz w:val="32"/>
          <w:szCs w:val="32"/>
          <w:lang w:val="en-US" w:eastAsia="zh-CN" w:bidi="ar-SA"/>
        </w:rPr>
        <w:t>协调相关部门持续开展全国基层中医药工作示范县创建工作。</w:t>
      </w:r>
      <w:r>
        <w:rPr>
          <w:rFonts w:hint="eastAsia" w:ascii="仿宋_GB2312" w:hAnsi="仿宋_GB2312" w:eastAsia="仿宋_GB2312" w:cs="仿宋_GB2312"/>
          <w:b w:val="0"/>
          <w:bCs w:val="0"/>
          <w:color w:val="auto"/>
          <w:sz w:val="32"/>
          <w:szCs w:val="32"/>
        </w:rPr>
        <w:t>继续打造</w:t>
      </w:r>
      <w:r>
        <w:rPr>
          <w:rFonts w:hint="eastAsia" w:ascii="仿宋_GB2312" w:hAnsi="仿宋_GB2312" w:eastAsia="仿宋_GB2312" w:cs="仿宋_GB2312"/>
          <w:b w:val="0"/>
          <w:bCs w:val="0"/>
          <w:color w:val="auto"/>
          <w:sz w:val="32"/>
          <w:szCs w:val="32"/>
          <w:lang w:eastAsia="zh-CN"/>
        </w:rPr>
        <w:t>旗蒙医</w:t>
      </w:r>
      <w:r>
        <w:rPr>
          <w:rFonts w:hint="eastAsia" w:ascii="仿宋_GB2312" w:hAnsi="仿宋_GB2312" w:eastAsia="仿宋_GB2312" w:cs="仿宋_GB2312"/>
          <w:b w:val="0"/>
          <w:bCs w:val="0"/>
          <w:color w:val="auto"/>
          <w:sz w:val="32"/>
          <w:szCs w:val="32"/>
          <w:lang w:val="en-US" w:eastAsia="zh-CN"/>
        </w:rPr>
        <w:t>医院“中和情”医院建设。</w:t>
      </w:r>
      <w:r>
        <w:rPr>
          <w:rFonts w:hint="eastAsia" w:ascii="仿宋_GB2312" w:hAnsi="仿宋_GB2312" w:eastAsia="仿宋_GB2312" w:cs="仿宋_GB2312"/>
          <w:b w:val="0"/>
          <w:bCs w:val="0"/>
          <w:color w:val="auto"/>
          <w:sz w:val="32"/>
          <w:szCs w:val="32"/>
        </w:rPr>
        <w:t>继续加强“治未病”能力</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康复服务能力</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进一步发挥中医药</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蒙医药</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在基本公共卫生服务中的作用</w:t>
      </w:r>
      <w:r>
        <w:rPr>
          <w:rFonts w:hint="eastAsia" w:ascii="仿宋_GB2312" w:hAnsi="仿宋_GB2312" w:eastAsia="仿宋_GB2312" w:cs="仿宋_GB2312"/>
          <w:b w:val="0"/>
          <w:bCs w:val="0"/>
          <w:color w:val="auto"/>
          <w:sz w:val="32"/>
          <w:szCs w:val="32"/>
          <w:lang w:eastAsia="zh-CN"/>
        </w:rPr>
        <w:t>，完成</w:t>
      </w:r>
      <w:r>
        <w:rPr>
          <w:rFonts w:hint="eastAsia" w:ascii="仿宋_GB2312" w:hAnsi="仿宋_GB2312" w:eastAsia="仿宋_GB2312" w:cs="仿宋_GB2312"/>
          <w:b w:val="0"/>
          <w:bCs w:val="0"/>
          <w:color w:val="auto"/>
          <w:sz w:val="32"/>
          <w:szCs w:val="32"/>
        </w:rPr>
        <w:t>65岁及以上老年人和</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36个月儿童中医药健康管理率</w:t>
      </w:r>
      <w:r>
        <w:rPr>
          <w:rFonts w:hint="eastAsia" w:ascii="仿宋_GB2312" w:hAnsi="仿宋_GB2312" w:eastAsia="仿宋_GB2312" w:cs="仿宋_GB2312"/>
          <w:b w:val="0"/>
          <w:bCs w:val="0"/>
          <w:color w:val="auto"/>
          <w:sz w:val="32"/>
          <w:szCs w:val="32"/>
          <w:lang w:eastAsia="zh-CN"/>
        </w:rPr>
        <w:t>任务目标</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继续</w:t>
      </w:r>
      <w:r>
        <w:rPr>
          <w:rFonts w:hint="eastAsia" w:ascii="仿宋_GB2312" w:hAnsi="仿宋_GB2312" w:eastAsia="仿宋_GB2312" w:cs="仿宋_GB2312"/>
          <w:b w:val="0"/>
          <w:bCs w:val="0"/>
          <w:color w:val="auto"/>
          <w:sz w:val="32"/>
          <w:szCs w:val="32"/>
          <w:lang w:val="en-US" w:eastAsia="zh-CN"/>
        </w:rPr>
        <w:t>加强蒙医医院</w:t>
      </w:r>
      <w:r>
        <w:rPr>
          <w:rFonts w:hint="eastAsia" w:ascii="仿宋_GB2312" w:hAnsi="仿宋_GB2312" w:eastAsia="仿宋_GB2312" w:cs="仿宋_GB2312"/>
          <w:b w:val="0"/>
          <w:bCs w:val="0"/>
          <w:color w:val="auto"/>
          <w:sz w:val="32"/>
          <w:szCs w:val="32"/>
          <w:lang w:eastAsia="zh-CN"/>
        </w:rPr>
        <w:t>“两专科一中心”项目建设，发挥旗县级中蒙医医院辐射带动作用。</w:t>
      </w:r>
      <w:r>
        <w:rPr>
          <w:rFonts w:hint="eastAsia" w:ascii="仿宋_GB2312" w:hAnsi="仿宋_GB2312" w:eastAsia="仿宋_GB2312" w:cs="仿宋_GB2312"/>
          <w:b w:val="0"/>
          <w:bCs w:val="0"/>
          <w:color w:val="auto"/>
          <w:sz w:val="32"/>
          <w:szCs w:val="32"/>
          <w:u w:val="none"/>
          <w:lang w:eastAsia="zh-CN"/>
        </w:rPr>
        <w:t>加大中医药（蒙医药）文化知识宣传力度。继续做好确有专长人员报名及资料收集、整理、上报工作。</w:t>
      </w:r>
    </w:p>
    <w:p w14:paraId="07714E2F">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u w:val="none"/>
          <w:lang w:val="en-US" w:eastAsia="zh-CN"/>
        </w:rPr>
        <w:t>8.</w:t>
      </w:r>
      <w:r>
        <w:rPr>
          <w:rFonts w:hint="eastAsia" w:ascii="仿宋_GB2312" w:hAnsi="仿宋_GB2312" w:eastAsia="仿宋_GB2312" w:cs="仿宋_GB2312"/>
          <w:b/>
          <w:bCs/>
          <w:color w:val="auto"/>
          <w:sz w:val="32"/>
          <w:szCs w:val="32"/>
          <w:shd w:val="clear" w:color="auto" w:fill="FFFFFF"/>
        </w:rPr>
        <w:t>大力推进爱国卫生服务工作。</w:t>
      </w:r>
      <w:r>
        <w:rPr>
          <w:rFonts w:hint="eastAsia" w:ascii="仿宋_GB2312" w:hAnsi="仿宋_GB2312" w:eastAsia="仿宋_GB2312" w:cs="仿宋_GB2312"/>
          <w:color w:val="auto"/>
          <w:sz w:val="32"/>
          <w:szCs w:val="32"/>
          <w:highlight w:val="none"/>
          <w:lang w:eastAsia="zh-CN"/>
        </w:rPr>
        <w:t>协调</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个苏木乡镇争创国家卫生乡镇创建工作，协调相关职能部门继续做好国家卫生县城复审工作，</w:t>
      </w:r>
      <w:r>
        <w:rPr>
          <w:rFonts w:hint="eastAsia" w:ascii="仿宋_GB2312" w:hAnsi="仿宋_GB2312" w:eastAsia="仿宋_GB2312" w:cs="仿宋_GB2312"/>
          <w:color w:val="auto"/>
          <w:sz w:val="32"/>
          <w:szCs w:val="32"/>
          <w:highlight w:val="none"/>
          <w:lang w:val="en-US" w:eastAsia="zh-CN"/>
        </w:rPr>
        <w:t>持续</w:t>
      </w:r>
      <w:r>
        <w:rPr>
          <w:rFonts w:hint="eastAsia" w:ascii="仿宋_GB2312" w:hAnsi="仿宋_GB2312" w:eastAsia="仿宋_GB2312" w:cs="仿宋_GB2312"/>
          <w:color w:val="auto"/>
          <w:sz w:val="32"/>
          <w:szCs w:val="32"/>
          <w:highlight w:val="none"/>
        </w:rPr>
        <w:t>组织各医疗卫生</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color w:val="auto"/>
          <w:sz w:val="32"/>
          <w:szCs w:val="32"/>
          <w:highlight w:val="none"/>
        </w:rPr>
        <w:t>开展“五进”活动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病媒生物防制工作、</w:t>
      </w:r>
      <w:r>
        <w:rPr>
          <w:rFonts w:hint="eastAsia" w:ascii="仿宋_GB2312" w:hAnsi="仿宋_GB2312" w:eastAsia="仿宋_GB2312" w:cs="仿宋_GB2312"/>
          <w:color w:val="auto"/>
          <w:sz w:val="32"/>
          <w:szCs w:val="32"/>
          <w:highlight w:val="none"/>
          <w:lang w:val="en-US" w:eastAsia="zh-CN"/>
        </w:rPr>
        <w:t>继续落实健康知识普及宣传、做好市级健康素养监测工作。</w:t>
      </w:r>
    </w:p>
    <w:p w14:paraId="75279D63">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shd w:val="clear" w:color="auto" w:fill="FFFFFF"/>
          <w:lang w:val="en-US" w:eastAsia="zh-CN"/>
        </w:rPr>
        <w:t>9.</w:t>
      </w:r>
      <w:r>
        <w:rPr>
          <w:rFonts w:hint="eastAsia" w:ascii="仿宋_GB2312" w:hAnsi="仿宋_GB2312" w:eastAsia="仿宋_GB2312" w:cs="仿宋_GB2312"/>
          <w:b/>
          <w:bCs/>
          <w:color w:val="auto"/>
          <w:sz w:val="32"/>
          <w:szCs w:val="32"/>
          <w:shd w:val="clear" w:color="auto" w:fill="FFFFFF"/>
        </w:rPr>
        <w:t>狠抓人才队伍建设。</w:t>
      </w:r>
      <w:r>
        <w:rPr>
          <w:rFonts w:hint="eastAsia" w:ascii="仿宋_GB2312" w:hAnsi="仿宋_GB2312" w:eastAsia="仿宋_GB2312" w:cs="仿宋_GB2312"/>
          <w:color w:val="auto"/>
          <w:kern w:val="2"/>
          <w:sz w:val="32"/>
          <w:szCs w:val="32"/>
          <w:lang w:val="en-US" w:eastAsia="zh-CN" w:bidi="ar-SA"/>
        </w:rPr>
        <w:t>通过跟岗培训，邀请外地专家来我旗坐诊、手术示教和业务培训等方式，加强基层业务人员培训。</w:t>
      </w:r>
      <w:r>
        <w:rPr>
          <w:rFonts w:hint="eastAsia" w:ascii="仿宋_GB2312" w:hAnsi="仿宋_GB2312" w:eastAsia="仿宋_GB2312" w:cs="仿宋_GB2312"/>
          <w:color w:val="auto"/>
          <w:sz w:val="32"/>
          <w:szCs w:val="32"/>
          <w:lang w:val="en-US" w:eastAsia="zh-CN"/>
        </w:rPr>
        <w:t>年内计划公开招聘事业单位工作人员30-45人，人才引进或回引5-10人。</w:t>
      </w:r>
      <w:r>
        <w:rPr>
          <w:rFonts w:hint="eastAsia" w:ascii="仿宋_GB2312" w:hAnsi="仿宋_GB2312" w:eastAsia="仿宋_GB2312" w:cs="仿宋_GB2312"/>
          <w:color w:val="auto"/>
          <w:kern w:val="2"/>
          <w:sz w:val="32"/>
          <w:szCs w:val="32"/>
          <w:lang w:val="en-US" w:eastAsia="zh-CN" w:bidi="ar-SA"/>
        </w:rPr>
        <w:t>做好各类考试、职称评审及岗位聘用工作。开展全科医生培养培训、基层卫生人员培训、临床急需紧缺人才培训、公共卫生机构专业人员培训、卫生管理人员培训以及县级骨干医师培训等项目，提高在岗卫生专业技术人员的能力和素质。</w:t>
      </w:r>
    </w:p>
    <w:p w14:paraId="612CE04C">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做好计划生育服务工作。</w:t>
      </w:r>
      <w:r>
        <w:rPr>
          <w:rFonts w:hint="default" w:ascii="仿宋_GB2312" w:hAnsi="仿宋_GB2312" w:eastAsia="仿宋_GB2312" w:cs="仿宋_GB2312"/>
          <w:color w:val="auto"/>
          <w:sz w:val="32"/>
          <w:szCs w:val="32"/>
          <w:lang w:val="en-US" w:eastAsia="zh-CN"/>
        </w:rPr>
        <w:t>做好生育政策和相关经济社会政策配套衔接，推动具体措施的落地落实。严格落实计划生育各项惠民政策。推动婴幼儿照护服务高质量发展，年度新增托位数140个；加强部门间的协调配合，加快解决托育机构登记备案、事中监管等工作难题；全面落实2025年国家普惠托育服务发展示范项目建设，全面提升托育机构标准化、规范化水平；落实好托育机构生均补贴发放等利好政策。继续推进老年健康服务体系建设，提升老年医学科服务能力和水平</w:t>
      </w:r>
      <w:r>
        <w:rPr>
          <w:rFonts w:hint="default" w:ascii="仿宋_GB2312" w:hAnsi="仿宋_GB2312" w:eastAsia="仿宋_GB2312" w:cs="仿宋_GB2312"/>
          <w:color w:val="0000FF"/>
          <w:sz w:val="32"/>
          <w:szCs w:val="32"/>
          <w:lang w:val="en-US" w:eastAsia="zh-CN"/>
        </w:rPr>
        <w:t>。</w:t>
      </w:r>
      <w:r>
        <w:rPr>
          <w:rFonts w:hint="default" w:ascii="仿宋_GB2312" w:hAnsi="仿宋_GB2312" w:eastAsia="仿宋_GB2312" w:cs="仿宋_GB2312"/>
          <w:color w:val="auto"/>
          <w:sz w:val="32"/>
          <w:szCs w:val="32"/>
          <w:lang w:val="en-US" w:eastAsia="zh-CN"/>
        </w:rPr>
        <w:t>进一步完善“奈曼旗家庭健康服务中心”功能建设，整合各类健康资源，有序推动家庭促进活动的开展。落实优化生育政策服务项目，全面开展生育政策宣传咨询服务及计生特殊家庭帮扶工作。</w:t>
      </w:r>
    </w:p>
    <w:p w14:paraId="40BB88F2">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加大妇幼工作力度。</w:t>
      </w:r>
      <w:r>
        <w:rPr>
          <w:rFonts w:hint="eastAsia" w:ascii="仿宋_GB2312" w:hAnsi="仿宋_GB2312" w:eastAsia="仿宋_GB2312" w:cs="仿宋_GB2312"/>
          <w:color w:val="auto"/>
          <w:kern w:val="2"/>
          <w:sz w:val="32"/>
          <w:szCs w:val="32"/>
          <w:lang w:val="en-US" w:eastAsia="zh-CN" w:bidi="ar-SA"/>
        </w:rPr>
        <w:t>继续以“两纲”目标为依托。开展孕产妇妊娠风险评估与管理工作，做好妇幼卫生的“三网监测”工作。提高孕产妇和儿童保健系统管理，继续做好“两癌”筛查工作、增补叶酸预防神经管缺陷项目和阻断艾滋病、梅毒和乙肝母婴传播工作及国家免费孕前优生健康检查工作。规范计划生育避孕药具管理及发放工作。全面做好妇幼健康信息系统录入工作。</w:t>
      </w:r>
    </w:p>
    <w:p w14:paraId="7ACD15F5">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lang w:val="en-US" w:eastAsia="zh-CN" w:bidi="ar-SA"/>
        </w:rPr>
        <w:t>12.</w:t>
      </w:r>
      <w:r>
        <w:rPr>
          <w:rFonts w:hint="eastAsia" w:ascii="仿宋_GB2312" w:hAnsi="仿宋_GB2312" w:eastAsia="仿宋_GB2312" w:cs="仿宋_GB2312"/>
          <w:b/>
          <w:bCs/>
          <w:color w:val="auto"/>
          <w:sz w:val="32"/>
          <w:szCs w:val="32"/>
        </w:rPr>
        <w:t>落实好各项安全生产工作</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加大执法力度，深化专项整治，加强宣传教育，全面预防和消除各类风险隐患,扎实筑牢卫健系统安全生产防线，切实保障好人民群众的生命安全和身体健康。</w:t>
      </w:r>
    </w:p>
    <w:p w14:paraId="3CA7ACEF">
      <w:pPr>
        <w:keepNext w:val="0"/>
        <w:keepLines w:val="0"/>
        <w:pageBreakBefore w:val="0"/>
        <w:widowControl w:val="0"/>
        <w:numPr>
          <w:ilvl w:val="0"/>
          <w:numId w:val="0"/>
        </w:numPr>
        <w:pBdr>
          <w:bottom w:val="single" w:color="FFFFFF" w:sz="4" w:space="30"/>
        </w:pBdr>
        <w:tabs>
          <w:tab w:val="left" w:pos="2700"/>
          <w:tab w:val="left" w:pos="2996"/>
          <w:tab w:val="left" w:pos="4111"/>
          <w:tab w:val="left" w:pos="86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val="0"/>
          <w:color w:val="auto"/>
          <w:sz w:val="32"/>
          <w:szCs w:val="32"/>
          <w:lang w:val="en-US" w:eastAsia="zh-CN"/>
        </w:rPr>
        <w:t>13.继续开展</w:t>
      </w:r>
      <w:r>
        <w:rPr>
          <w:rFonts w:hint="eastAsia" w:ascii="仿宋_GB2312" w:hAnsi="仿宋_GB2312" w:eastAsia="仿宋_GB2312" w:cs="仿宋_GB2312"/>
          <w:b/>
          <w:bCs w:val="0"/>
          <w:color w:val="auto"/>
          <w:sz w:val="32"/>
          <w:szCs w:val="32"/>
          <w:lang w:eastAsia="zh-CN"/>
        </w:rPr>
        <w:t>医疗</w:t>
      </w:r>
      <w:r>
        <w:rPr>
          <w:rFonts w:hint="eastAsia" w:ascii="仿宋_GB2312" w:hAnsi="仿宋_GB2312" w:eastAsia="仿宋_GB2312" w:cs="仿宋_GB2312"/>
          <w:b/>
          <w:bCs w:val="0"/>
          <w:color w:val="auto"/>
          <w:sz w:val="32"/>
          <w:szCs w:val="32"/>
        </w:rPr>
        <w:t>领域群众身边不正之风和腐败问题集中整治工作</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color w:val="auto"/>
          <w:sz w:val="32"/>
          <w:szCs w:val="32"/>
          <w:lang w:val="en-US" w:eastAsia="zh-CN"/>
        </w:rPr>
        <w:t>提高医务人员服务能力和水平，改善群众急难愁盼问题和患者就医满意度。</w:t>
      </w:r>
    </w:p>
    <w:sectPr>
      <w:footerReference r:id="rId3" w:type="default"/>
      <w:pgSz w:w="11906" w:h="16838"/>
      <w:pgMar w:top="2098" w:right="1474" w:bottom="1871"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2B287">
    <w:pPr>
      <w:pStyle w:val="8"/>
    </w:pPr>
    <w:r>
      <mc:AlternateContent>
        <mc:Choice Requires="wps">
          <w:drawing>
            <wp:anchor distT="0" distB="0" distL="114300" distR="114300" simplePos="0" relativeHeight="251659264" behindDoc="0" locked="0" layoutInCell="1" allowOverlap="1">
              <wp:simplePos x="0" y="0"/>
              <wp:positionH relativeFrom="margin">
                <wp:posOffset>2756535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B03F1">
                          <w:pPr>
                            <w:pStyle w:val="8"/>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7.05pt;margin-top:0pt;height:144pt;width:144pt;mso-position-horizontal-relative:margin;mso-wrap-style:none;z-index:251659264;mso-width-relative:page;mso-height-relative:page;" filled="f" stroked="f" coordsize="21600,21600" o:gfxdata="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l1VAI1QAAAAg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14:paraId="637B03F1">
                    <w:pPr>
                      <w:pStyle w:val="8"/>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2YzYzk4ZDM5MzhmNGEyMWJiZmIxOWMyZjExYWQifQ=="/>
  </w:docVars>
  <w:rsids>
    <w:rsidRoot w:val="7C7C0F8B"/>
    <w:rsid w:val="002831BD"/>
    <w:rsid w:val="00284AF8"/>
    <w:rsid w:val="00293595"/>
    <w:rsid w:val="002E5182"/>
    <w:rsid w:val="00354365"/>
    <w:rsid w:val="004E24A1"/>
    <w:rsid w:val="00507474"/>
    <w:rsid w:val="005A2089"/>
    <w:rsid w:val="005A25DF"/>
    <w:rsid w:val="0060192C"/>
    <w:rsid w:val="0061740E"/>
    <w:rsid w:val="00625246"/>
    <w:rsid w:val="00626880"/>
    <w:rsid w:val="00635BF5"/>
    <w:rsid w:val="00711C7F"/>
    <w:rsid w:val="0093341D"/>
    <w:rsid w:val="009F2E6D"/>
    <w:rsid w:val="00A2015D"/>
    <w:rsid w:val="00B06431"/>
    <w:rsid w:val="00B3289D"/>
    <w:rsid w:val="00C51F7B"/>
    <w:rsid w:val="00C77058"/>
    <w:rsid w:val="00C912A6"/>
    <w:rsid w:val="00CA510F"/>
    <w:rsid w:val="00D8547C"/>
    <w:rsid w:val="00EF288C"/>
    <w:rsid w:val="00F13BCB"/>
    <w:rsid w:val="00F2057C"/>
    <w:rsid w:val="00FA16CA"/>
    <w:rsid w:val="012B2020"/>
    <w:rsid w:val="01580B5D"/>
    <w:rsid w:val="01853E11"/>
    <w:rsid w:val="019E7B1D"/>
    <w:rsid w:val="01A14C10"/>
    <w:rsid w:val="01A60A26"/>
    <w:rsid w:val="01F0660D"/>
    <w:rsid w:val="021D5C80"/>
    <w:rsid w:val="025A7A69"/>
    <w:rsid w:val="026904D7"/>
    <w:rsid w:val="027D64EB"/>
    <w:rsid w:val="028E0BE4"/>
    <w:rsid w:val="02A02653"/>
    <w:rsid w:val="02BC3FC2"/>
    <w:rsid w:val="02CB619B"/>
    <w:rsid w:val="03080E35"/>
    <w:rsid w:val="032111D0"/>
    <w:rsid w:val="03555A65"/>
    <w:rsid w:val="036F15FB"/>
    <w:rsid w:val="039B1900"/>
    <w:rsid w:val="03F36895"/>
    <w:rsid w:val="04050120"/>
    <w:rsid w:val="040B1380"/>
    <w:rsid w:val="0426514F"/>
    <w:rsid w:val="043B60CB"/>
    <w:rsid w:val="044774D4"/>
    <w:rsid w:val="04732647"/>
    <w:rsid w:val="048307FC"/>
    <w:rsid w:val="04AB445C"/>
    <w:rsid w:val="04EE5B08"/>
    <w:rsid w:val="05041802"/>
    <w:rsid w:val="051D2504"/>
    <w:rsid w:val="052337B4"/>
    <w:rsid w:val="052E228E"/>
    <w:rsid w:val="054C4A9E"/>
    <w:rsid w:val="05640C2D"/>
    <w:rsid w:val="057C377D"/>
    <w:rsid w:val="05A825D2"/>
    <w:rsid w:val="05A94AB8"/>
    <w:rsid w:val="05B11678"/>
    <w:rsid w:val="05C759FB"/>
    <w:rsid w:val="05DD06BF"/>
    <w:rsid w:val="06084F90"/>
    <w:rsid w:val="06113EC5"/>
    <w:rsid w:val="06345E06"/>
    <w:rsid w:val="065110EC"/>
    <w:rsid w:val="069F3BC7"/>
    <w:rsid w:val="06A727AE"/>
    <w:rsid w:val="06A91D3F"/>
    <w:rsid w:val="06C74ECC"/>
    <w:rsid w:val="06E13757"/>
    <w:rsid w:val="06FF626C"/>
    <w:rsid w:val="0728593D"/>
    <w:rsid w:val="0731167A"/>
    <w:rsid w:val="0737108A"/>
    <w:rsid w:val="074F43D6"/>
    <w:rsid w:val="0765056A"/>
    <w:rsid w:val="076619FA"/>
    <w:rsid w:val="07686886"/>
    <w:rsid w:val="076F3599"/>
    <w:rsid w:val="07BB67DE"/>
    <w:rsid w:val="07E11913"/>
    <w:rsid w:val="07EF414C"/>
    <w:rsid w:val="080A457A"/>
    <w:rsid w:val="082500FC"/>
    <w:rsid w:val="0831084F"/>
    <w:rsid w:val="088A5DF8"/>
    <w:rsid w:val="08B22092"/>
    <w:rsid w:val="08BF7AF8"/>
    <w:rsid w:val="08C76737"/>
    <w:rsid w:val="08CA259F"/>
    <w:rsid w:val="08D96F67"/>
    <w:rsid w:val="091C6AAC"/>
    <w:rsid w:val="094E5DAD"/>
    <w:rsid w:val="095E07B1"/>
    <w:rsid w:val="096F6562"/>
    <w:rsid w:val="099D5956"/>
    <w:rsid w:val="09E838CA"/>
    <w:rsid w:val="0A411894"/>
    <w:rsid w:val="0A4E5C86"/>
    <w:rsid w:val="0A6E5D8A"/>
    <w:rsid w:val="0A943BBC"/>
    <w:rsid w:val="0AF85654"/>
    <w:rsid w:val="0AFB5144"/>
    <w:rsid w:val="0B1B48ED"/>
    <w:rsid w:val="0B2479B3"/>
    <w:rsid w:val="0B35455B"/>
    <w:rsid w:val="0B400EDB"/>
    <w:rsid w:val="0B476170"/>
    <w:rsid w:val="0B582A31"/>
    <w:rsid w:val="0B7B2724"/>
    <w:rsid w:val="0BE64FC3"/>
    <w:rsid w:val="0C083C74"/>
    <w:rsid w:val="0C0A2510"/>
    <w:rsid w:val="0C5114BF"/>
    <w:rsid w:val="0C511B74"/>
    <w:rsid w:val="0C564803"/>
    <w:rsid w:val="0CB832EC"/>
    <w:rsid w:val="0D0E61C1"/>
    <w:rsid w:val="0D352B8F"/>
    <w:rsid w:val="0D3844A0"/>
    <w:rsid w:val="0D593596"/>
    <w:rsid w:val="0D5A5649"/>
    <w:rsid w:val="0D5B011C"/>
    <w:rsid w:val="0D760380"/>
    <w:rsid w:val="0D8B27AF"/>
    <w:rsid w:val="0D943517"/>
    <w:rsid w:val="0D9832DA"/>
    <w:rsid w:val="0D9B4AE6"/>
    <w:rsid w:val="0DA90E87"/>
    <w:rsid w:val="0DCC3FC8"/>
    <w:rsid w:val="0DD405FA"/>
    <w:rsid w:val="0E323572"/>
    <w:rsid w:val="0E3D7F6C"/>
    <w:rsid w:val="0E7E0566"/>
    <w:rsid w:val="0EA224A6"/>
    <w:rsid w:val="0EB608AD"/>
    <w:rsid w:val="0EBE32B2"/>
    <w:rsid w:val="0EF0077E"/>
    <w:rsid w:val="0F20767C"/>
    <w:rsid w:val="0F231EA9"/>
    <w:rsid w:val="0F3A6218"/>
    <w:rsid w:val="0F495948"/>
    <w:rsid w:val="0F5A68DD"/>
    <w:rsid w:val="0F6B1991"/>
    <w:rsid w:val="0F6E35F7"/>
    <w:rsid w:val="0FA70C06"/>
    <w:rsid w:val="0FC52645"/>
    <w:rsid w:val="0FDE750E"/>
    <w:rsid w:val="0FE44E94"/>
    <w:rsid w:val="0FEE34C9"/>
    <w:rsid w:val="10002118"/>
    <w:rsid w:val="101B47B6"/>
    <w:rsid w:val="10384127"/>
    <w:rsid w:val="103C317F"/>
    <w:rsid w:val="103E61FE"/>
    <w:rsid w:val="106F26EF"/>
    <w:rsid w:val="10947BCD"/>
    <w:rsid w:val="10977F30"/>
    <w:rsid w:val="109A02A4"/>
    <w:rsid w:val="109A3C03"/>
    <w:rsid w:val="10B55FDB"/>
    <w:rsid w:val="10B565D2"/>
    <w:rsid w:val="10E16B8A"/>
    <w:rsid w:val="111D4066"/>
    <w:rsid w:val="11276C93"/>
    <w:rsid w:val="11416B29"/>
    <w:rsid w:val="114D69E0"/>
    <w:rsid w:val="116862A9"/>
    <w:rsid w:val="11900011"/>
    <w:rsid w:val="11AB339C"/>
    <w:rsid w:val="11B036FF"/>
    <w:rsid w:val="11B04A9E"/>
    <w:rsid w:val="11CB5870"/>
    <w:rsid w:val="11CF1B1F"/>
    <w:rsid w:val="11E737B6"/>
    <w:rsid w:val="11EF5D51"/>
    <w:rsid w:val="11FC1ECD"/>
    <w:rsid w:val="11FF376C"/>
    <w:rsid w:val="120F4E6B"/>
    <w:rsid w:val="12106068"/>
    <w:rsid w:val="12297813"/>
    <w:rsid w:val="122B6763"/>
    <w:rsid w:val="127B0B5B"/>
    <w:rsid w:val="12AD766B"/>
    <w:rsid w:val="12BA7692"/>
    <w:rsid w:val="12CC397C"/>
    <w:rsid w:val="131D3357"/>
    <w:rsid w:val="132712F3"/>
    <w:rsid w:val="134F1DF4"/>
    <w:rsid w:val="134F24D1"/>
    <w:rsid w:val="135F6376"/>
    <w:rsid w:val="13F56435"/>
    <w:rsid w:val="14321BD6"/>
    <w:rsid w:val="144638D4"/>
    <w:rsid w:val="14E67BD9"/>
    <w:rsid w:val="15064E11"/>
    <w:rsid w:val="150B569A"/>
    <w:rsid w:val="1526341B"/>
    <w:rsid w:val="15284D87"/>
    <w:rsid w:val="153C3C87"/>
    <w:rsid w:val="15495889"/>
    <w:rsid w:val="155E4C4D"/>
    <w:rsid w:val="1563169E"/>
    <w:rsid w:val="15BA6327"/>
    <w:rsid w:val="15C01464"/>
    <w:rsid w:val="15C251DC"/>
    <w:rsid w:val="160B1661"/>
    <w:rsid w:val="160F3DAD"/>
    <w:rsid w:val="16350451"/>
    <w:rsid w:val="16726C02"/>
    <w:rsid w:val="16A707D1"/>
    <w:rsid w:val="16EB6AB6"/>
    <w:rsid w:val="16F72FCA"/>
    <w:rsid w:val="174431B2"/>
    <w:rsid w:val="1765414D"/>
    <w:rsid w:val="17A2729B"/>
    <w:rsid w:val="17B22584"/>
    <w:rsid w:val="17B82F27"/>
    <w:rsid w:val="17C81174"/>
    <w:rsid w:val="17C972F3"/>
    <w:rsid w:val="17CE0CAC"/>
    <w:rsid w:val="185578BB"/>
    <w:rsid w:val="185D6426"/>
    <w:rsid w:val="18800399"/>
    <w:rsid w:val="18B352B0"/>
    <w:rsid w:val="18BC586C"/>
    <w:rsid w:val="18BD5DC7"/>
    <w:rsid w:val="18DD40DB"/>
    <w:rsid w:val="18F762E8"/>
    <w:rsid w:val="196F11D7"/>
    <w:rsid w:val="197C187C"/>
    <w:rsid w:val="19897111"/>
    <w:rsid w:val="19990A2D"/>
    <w:rsid w:val="19AA7403"/>
    <w:rsid w:val="19CE15B1"/>
    <w:rsid w:val="1A0628E7"/>
    <w:rsid w:val="1A1104E0"/>
    <w:rsid w:val="1A4C6A79"/>
    <w:rsid w:val="1A577FC9"/>
    <w:rsid w:val="1A7977C1"/>
    <w:rsid w:val="1A98475D"/>
    <w:rsid w:val="1A9A6727"/>
    <w:rsid w:val="1AA42578"/>
    <w:rsid w:val="1B0231FF"/>
    <w:rsid w:val="1B124510"/>
    <w:rsid w:val="1B17191C"/>
    <w:rsid w:val="1B4D379A"/>
    <w:rsid w:val="1B636B19"/>
    <w:rsid w:val="1B8B54DB"/>
    <w:rsid w:val="1BDC4008"/>
    <w:rsid w:val="1BE55780"/>
    <w:rsid w:val="1C03022C"/>
    <w:rsid w:val="1C4C1CA3"/>
    <w:rsid w:val="1C726F16"/>
    <w:rsid w:val="1CC0722B"/>
    <w:rsid w:val="1CE14E03"/>
    <w:rsid w:val="1CEE3764"/>
    <w:rsid w:val="1D570319"/>
    <w:rsid w:val="1D5E2419"/>
    <w:rsid w:val="1D9B4C90"/>
    <w:rsid w:val="1DD34822"/>
    <w:rsid w:val="1DF81C20"/>
    <w:rsid w:val="1DFA6436"/>
    <w:rsid w:val="1E3E4C49"/>
    <w:rsid w:val="1E836470"/>
    <w:rsid w:val="1EB93B9A"/>
    <w:rsid w:val="1EC75611"/>
    <w:rsid w:val="1EDF0CE8"/>
    <w:rsid w:val="1EE22B35"/>
    <w:rsid w:val="1F4074C9"/>
    <w:rsid w:val="1F555A28"/>
    <w:rsid w:val="1F5B5039"/>
    <w:rsid w:val="1F5F550C"/>
    <w:rsid w:val="1F6109EB"/>
    <w:rsid w:val="1F684DCF"/>
    <w:rsid w:val="1F7C1C85"/>
    <w:rsid w:val="1F7C6250"/>
    <w:rsid w:val="1F8B4261"/>
    <w:rsid w:val="1FF209CB"/>
    <w:rsid w:val="20104AAA"/>
    <w:rsid w:val="201758CB"/>
    <w:rsid w:val="20193825"/>
    <w:rsid w:val="2059673D"/>
    <w:rsid w:val="205A0C7F"/>
    <w:rsid w:val="208444B0"/>
    <w:rsid w:val="2096440F"/>
    <w:rsid w:val="20D479E8"/>
    <w:rsid w:val="20DD736E"/>
    <w:rsid w:val="211A10FC"/>
    <w:rsid w:val="2175749A"/>
    <w:rsid w:val="2182654D"/>
    <w:rsid w:val="218849EB"/>
    <w:rsid w:val="219C4B33"/>
    <w:rsid w:val="21AD149B"/>
    <w:rsid w:val="21C10491"/>
    <w:rsid w:val="21C440DA"/>
    <w:rsid w:val="21D95D87"/>
    <w:rsid w:val="22071F7C"/>
    <w:rsid w:val="223D3868"/>
    <w:rsid w:val="2277009F"/>
    <w:rsid w:val="22C41EC3"/>
    <w:rsid w:val="23113D47"/>
    <w:rsid w:val="23190781"/>
    <w:rsid w:val="23470105"/>
    <w:rsid w:val="236F73A3"/>
    <w:rsid w:val="237E3D46"/>
    <w:rsid w:val="239D1036"/>
    <w:rsid w:val="240F73B9"/>
    <w:rsid w:val="243715F7"/>
    <w:rsid w:val="244E37C0"/>
    <w:rsid w:val="24926C44"/>
    <w:rsid w:val="24BC5AB4"/>
    <w:rsid w:val="24D86021"/>
    <w:rsid w:val="24E2392C"/>
    <w:rsid w:val="24FC4DB7"/>
    <w:rsid w:val="24FE75CF"/>
    <w:rsid w:val="25027DD3"/>
    <w:rsid w:val="2525539A"/>
    <w:rsid w:val="255B6AB3"/>
    <w:rsid w:val="259721E1"/>
    <w:rsid w:val="25AC3D79"/>
    <w:rsid w:val="25D76ACA"/>
    <w:rsid w:val="25F9387D"/>
    <w:rsid w:val="264834DB"/>
    <w:rsid w:val="26AC724B"/>
    <w:rsid w:val="26AF10D3"/>
    <w:rsid w:val="26B51F17"/>
    <w:rsid w:val="26E86A6C"/>
    <w:rsid w:val="26FD34B9"/>
    <w:rsid w:val="271F7DC1"/>
    <w:rsid w:val="272E0923"/>
    <w:rsid w:val="2735154F"/>
    <w:rsid w:val="27541A0C"/>
    <w:rsid w:val="27616FBF"/>
    <w:rsid w:val="27716366"/>
    <w:rsid w:val="27B150B0"/>
    <w:rsid w:val="2853219D"/>
    <w:rsid w:val="28606D6A"/>
    <w:rsid w:val="28715D59"/>
    <w:rsid w:val="28CC797B"/>
    <w:rsid w:val="28CE3F3B"/>
    <w:rsid w:val="28CF54E9"/>
    <w:rsid w:val="28E54CAC"/>
    <w:rsid w:val="28FA1319"/>
    <w:rsid w:val="297B1568"/>
    <w:rsid w:val="29AA2DE0"/>
    <w:rsid w:val="29C045C6"/>
    <w:rsid w:val="29C63AC1"/>
    <w:rsid w:val="29D11A3A"/>
    <w:rsid w:val="29E40114"/>
    <w:rsid w:val="29E7001E"/>
    <w:rsid w:val="2A1A0CEB"/>
    <w:rsid w:val="2A2C3DC7"/>
    <w:rsid w:val="2A5F4221"/>
    <w:rsid w:val="2A6753E9"/>
    <w:rsid w:val="2A8512AE"/>
    <w:rsid w:val="2AAD4EBD"/>
    <w:rsid w:val="2AB82A10"/>
    <w:rsid w:val="2B1C2C06"/>
    <w:rsid w:val="2B3D661C"/>
    <w:rsid w:val="2B5D1533"/>
    <w:rsid w:val="2B5E10AB"/>
    <w:rsid w:val="2B6C19DD"/>
    <w:rsid w:val="2B794137"/>
    <w:rsid w:val="2B8547F9"/>
    <w:rsid w:val="2B97636B"/>
    <w:rsid w:val="2B9E131E"/>
    <w:rsid w:val="2BBE7D9C"/>
    <w:rsid w:val="2C182F9A"/>
    <w:rsid w:val="2C372028"/>
    <w:rsid w:val="2C6646BB"/>
    <w:rsid w:val="2C9D19F7"/>
    <w:rsid w:val="2CF00429"/>
    <w:rsid w:val="2CF77A09"/>
    <w:rsid w:val="2D0D4B58"/>
    <w:rsid w:val="2D2B46B3"/>
    <w:rsid w:val="2D2F0F51"/>
    <w:rsid w:val="2D5B2658"/>
    <w:rsid w:val="2D5E2B37"/>
    <w:rsid w:val="2D612F9F"/>
    <w:rsid w:val="2D866422"/>
    <w:rsid w:val="2DD37B2E"/>
    <w:rsid w:val="2DE87FEF"/>
    <w:rsid w:val="2DF6381D"/>
    <w:rsid w:val="2DFE26D1"/>
    <w:rsid w:val="2E0C5589"/>
    <w:rsid w:val="2E106E59"/>
    <w:rsid w:val="2E6E7857"/>
    <w:rsid w:val="2E717347"/>
    <w:rsid w:val="2EA171C6"/>
    <w:rsid w:val="2EE702CF"/>
    <w:rsid w:val="2F092ABA"/>
    <w:rsid w:val="2F3F11F4"/>
    <w:rsid w:val="2F551203"/>
    <w:rsid w:val="2F6A729B"/>
    <w:rsid w:val="2FBF03EB"/>
    <w:rsid w:val="30117B97"/>
    <w:rsid w:val="30670A02"/>
    <w:rsid w:val="30833D0F"/>
    <w:rsid w:val="30A9101A"/>
    <w:rsid w:val="30AF1D3F"/>
    <w:rsid w:val="30B54007"/>
    <w:rsid w:val="31124E12"/>
    <w:rsid w:val="313110BB"/>
    <w:rsid w:val="313B4368"/>
    <w:rsid w:val="313F7076"/>
    <w:rsid w:val="314045A4"/>
    <w:rsid w:val="314F6C88"/>
    <w:rsid w:val="31A765C0"/>
    <w:rsid w:val="31B66047"/>
    <w:rsid w:val="32136DDA"/>
    <w:rsid w:val="322A1A72"/>
    <w:rsid w:val="324A69A7"/>
    <w:rsid w:val="32BF4B25"/>
    <w:rsid w:val="331A0F68"/>
    <w:rsid w:val="331C03DF"/>
    <w:rsid w:val="3337088C"/>
    <w:rsid w:val="333B1EC9"/>
    <w:rsid w:val="33664D1A"/>
    <w:rsid w:val="336E1EC9"/>
    <w:rsid w:val="33704D1C"/>
    <w:rsid w:val="337551E4"/>
    <w:rsid w:val="337E6C2D"/>
    <w:rsid w:val="33826A4C"/>
    <w:rsid w:val="33851C25"/>
    <w:rsid w:val="338D1F93"/>
    <w:rsid w:val="339235EE"/>
    <w:rsid w:val="33D068BE"/>
    <w:rsid w:val="33D662BC"/>
    <w:rsid w:val="33F773EA"/>
    <w:rsid w:val="340F284B"/>
    <w:rsid w:val="343C5323"/>
    <w:rsid w:val="346A57CF"/>
    <w:rsid w:val="34810E94"/>
    <w:rsid w:val="34A940B5"/>
    <w:rsid w:val="34C268E3"/>
    <w:rsid w:val="34E13F85"/>
    <w:rsid w:val="34E25547"/>
    <w:rsid w:val="34EF0674"/>
    <w:rsid w:val="34FF6CA0"/>
    <w:rsid w:val="350B4052"/>
    <w:rsid w:val="35181D8B"/>
    <w:rsid w:val="35290DB4"/>
    <w:rsid w:val="352A07CA"/>
    <w:rsid w:val="353C5263"/>
    <w:rsid w:val="3566572C"/>
    <w:rsid w:val="356674DA"/>
    <w:rsid w:val="356E2C89"/>
    <w:rsid w:val="35931184"/>
    <w:rsid w:val="35A43E0B"/>
    <w:rsid w:val="35AF0E81"/>
    <w:rsid w:val="35B73FB6"/>
    <w:rsid w:val="36316394"/>
    <w:rsid w:val="3643781B"/>
    <w:rsid w:val="36787CA1"/>
    <w:rsid w:val="3690050F"/>
    <w:rsid w:val="36A87670"/>
    <w:rsid w:val="36E70145"/>
    <w:rsid w:val="371B2546"/>
    <w:rsid w:val="371B60A2"/>
    <w:rsid w:val="3749255A"/>
    <w:rsid w:val="375E7BB7"/>
    <w:rsid w:val="378C0D4E"/>
    <w:rsid w:val="37B409D1"/>
    <w:rsid w:val="37BD1854"/>
    <w:rsid w:val="37C34CA1"/>
    <w:rsid w:val="37C64260"/>
    <w:rsid w:val="37C66ED9"/>
    <w:rsid w:val="37D106FA"/>
    <w:rsid w:val="37E150E2"/>
    <w:rsid w:val="37EA2644"/>
    <w:rsid w:val="380D1E8F"/>
    <w:rsid w:val="38821599"/>
    <w:rsid w:val="388220D9"/>
    <w:rsid w:val="38EB7743"/>
    <w:rsid w:val="395816DB"/>
    <w:rsid w:val="39641F82"/>
    <w:rsid w:val="39842625"/>
    <w:rsid w:val="39E906DA"/>
    <w:rsid w:val="3A0102D7"/>
    <w:rsid w:val="3A1514CF"/>
    <w:rsid w:val="3A257964"/>
    <w:rsid w:val="3A306308"/>
    <w:rsid w:val="3A4616F9"/>
    <w:rsid w:val="3A725EA1"/>
    <w:rsid w:val="3A865F28"/>
    <w:rsid w:val="3AA11540"/>
    <w:rsid w:val="3AD526BA"/>
    <w:rsid w:val="3AD60C5E"/>
    <w:rsid w:val="3AE0276A"/>
    <w:rsid w:val="3AFE7E77"/>
    <w:rsid w:val="3B1E43B3"/>
    <w:rsid w:val="3B282E2A"/>
    <w:rsid w:val="3B2B0CD8"/>
    <w:rsid w:val="3B3F32FA"/>
    <w:rsid w:val="3B6628A4"/>
    <w:rsid w:val="3B6F54EA"/>
    <w:rsid w:val="3BA64AD4"/>
    <w:rsid w:val="3BAA1E25"/>
    <w:rsid w:val="3BBC60A6"/>
    <w:rsid w:val="3BBD2897"/>
    <w:rsid w:val="3C090BBF"/>
    <w:rsid w:val="3C2D2B00"/>
    <w:rsid w:val="3C2E004E"/>
    <w:rsid w:val="3C437683"/>
    <w:rsid w:val="3C4E0CC8"/>
    <w:rsid w:val="3C5A029E"/>
    <w:rsid w:val="3C960AA7"/>
    <w:rsid w:val="3CBE4984"/>
    <w:rsid w:val="3CC25CC2"/>
    <w:rsid w:val="3CDE507F"/>
    <w:rsid w:val="3CE77152"/>
    <w:rsid w:val="3D1617E6"/>
    <w:rsid w:val="3D1D2B74"/>
    <w:rsid w:val="3D574B94"/>
    <w:rsid w:val="3D714C6E"/>
    <w:rsid w:val="3DE82696"/>
    <w:rsid w:val="3DE9514C"/>
    <w:rsid w:val="3DEA349C"/>
    <w:rsid w:val="3DF673CE"/>
    <w:rsid w:val="3E020CED"/>
    <w:rsid w:val="3E2E2B5F"/>
    <w:rsid w:val="3E436587"/>
    <w:rsid w:val="3E6A7DDB"/>
    <w:rsid w:val="3E7E3B62"/>
    <w:rsid w:val="3E9A0EE2"/>
    <w:rsid w:val="3EA85C6E"/>
    <w:rsid w:val="3EBF7CC4"/>
    <w:rsid w:val="3EC6070F"/>
    <w:rsid w:val="3EE225AD"/>
    <w:rsid w:val="3EEF128D"/>
    <w:rsid w:val="3EEF22EE"/>
    <w:rsid w:val="3F1C11F3"/>
    <w:rsid w:val="3F1D32FF"/>
    <w:rsid w:val="3F2214AB"/>
    <w:rsid w:val="3F496A86"/>
    <w:rsid w:val="3F5900B0"/>
    <w:rsid w:val="3F6F6722"/>
    <w:rsid w:val="3FB16FDA"/>
    <w:rsid w:val="3FBA46C7"/>
    <w:rsid w:val="3FC1719F"/>
    <w:rsid w:val="40152228"/>
    <w:rsid w:val="401C483D"/>
    <w:rsid w:val="40290BE6"/>
    <w:rsid w:val="403101DD"/>
    <w:rsid w:val="404B17A6"/>
    <w:rsid w:val="4064171F"/>
    <w:rsid w:val="407853AB"/>
    <w:rsid w:val="409B4DCD"/>
    <w:rsid w:val="40AE7F87"/>
    <w:rsid w:val="40CB0B39"/>
    <w:rsid w:val="40F67A15"/>
    <w:rsid w:val="40F97454"/>
    <w:rsid w:val="410841E6"/>
    <w:rsid w:val="41395AA3"/>
    <w:rsid w:val="415C005D"/>
    <w:rsid w:val="419F28DE"/>
    <w:rsid w:val="41A078D5"/>
    <w:rsid w:val="420562D3"/>
    <w:rsid w:val="42157046"/>
    <w:rsid w:val="42245F73"/>
    <w:rsid w:val="423B3A9C"/>
    <w:rsid w:val="427D0032"/>
    <w:rsid w:val="429513FF"/>
    <w:rsid w:val="42976F25"/>
    <w:rsid w:val="42A72EE0"/>
    <w:rsid w:val="42AD499A"/>
    <w:rsid w:val="42B61061"/>
    <w:rsid w:val="42DB7BE4"/>
    <w:rsid w:val="430D007F"/>
    <w:rsid w:val="432F1853"/>
    <w:rsid w:val="435E5C94"/>
    <w:rsid w:val="436F1217"/>
    <w:rsid w:val="43866D2A"/>
    <w:rsid w:val="43AD2DF3"/>
    <w:rsid w:val="43B753A5"/>
    <w:rsid w:val="43EF2D90"/>
    <w:rsid w:val="440028DC"/>
    <w:rsid w:val="44091E87"/>
    <w:rsid w:val="44113C21"/>
    <w:rsid w:val="441B110A"/>
    <w:rsid w:val="444D64F0"/>
    <w:rsid w:val="448C7A1B"/>
    <w:rsid w:val="44A43B7B"/>
    <w:rsid w:val="44C6553E"/>
    <w:rsid w:val="450A7DE9"/>
    <w:rsid w:val="450D7972"/>
    <w:rsid w:val="452E0A4A"/>
    <w:rsid w:val="45313347"/>
    <w:rsid w:val="45322F35"/>
    <w:rsid w:val="454A3DF2"/>
    <w:rsid w:val="45644E54"/>
    <w:rsid w:val="4580497C"/>
    <w:rsid w:val="45910585"/>
    <w:rsid w:val="45950612"/>
    <w:rsid w:val="45A95D03"/>
    <w:rsid w:val="45B30040"/>
    <w:rsid w:val="460D6241"/>
    <w:rsid w:val="46282628"/>
    <w:rsid w:val="462D5A25"/>
    <w:rsid w:val="463A5DE7"/>
    <w:rsid w:val="46445615"/>
    <w:rsid w:val="46490B67"/>
    <w:rsid w:val="464C1B5B"/>
    <w:rsid w:val="466C06C8"/>
    <w:rsid w:val="466F26D4"/>
    <w:rsid w:val="46782302"/>
    <w:rsid w:val="46834537"/>
    <w:rsid w:val="469758A4"/>
    <w:rsid w:val="46A96BDC"/>
    <w:rsid w:val="46B910EB"/>
    <w:rsid w:val="46FD2564"/>
    <w:rsid w:val="471D19C3"/>
    <w:rsid w:val="474D4056"/>
    <w:rsid w:val="47607CE0"/>
    <w:rsid w:val="476409A4"/>
    <w:rsid w:val="478B2FDA"/>
    <w:rsid w:val="47971775"/>
    <w:rsid w:val="479C4FDD"/>
    <w:rsid w:val="47B72375"/>
    <w:rsid w:val="47EF335F"/>
    <w:rsid w:val="48196442"/>
    <w:rsid w:val="48474DA0"/>
    <w:rsid w:val="485C073A"/>
    <w:rsid w:val="487148E9"/>
    <w:rsid w:val="48743864"/>
    <w:rsid w:val="488241D3"/>
    <w:rsid w:val="48883FAF"/>
    <w:rsid w:val="489C049A"/>
    <w:rsid w:val="48B05054"/>
    <w:rsid w:val="48B1423A"/>
    <w:rsid w:val="48C30BD9"/>
    <w:rsid w:val="48D819DB"/>
    <w:rsid w:val="48DE7EB4"/>
    <w:rsid w:val="491D4552"/>
    <w:rsid w:val="495A058B"/>
    <w:rsid w:val="49627B61"/>
    <w:rsid w:val="496C13B8"/>
    <w:rsid w:val="49747FC0"/>
    <w:rsid w:val="497576BC"/>
    <w:rsid w:val="49851FEA"/>
    <w:rsid w:val="499402C3"/>
    <w:rsid w:val="49D23186"/>
    <w:rsid w:val="49F718AC"/>
    <w:rsid w:val="4A0D4FB7"/>
    <w:rsid w:val="4A394D65"/>
    <w:rsid w:val="4A62250E"/>
    <w:rsid w:val="4A626AC3"/>
    <w:rsid w:val="4A712751"/>
    <w:rsid w:val="4A765637"/>
    <w:rsid w:val="4A894524"/>
    <w:rsid w:val="4A991FB9"/>
    <w:rsid w:val="4A9E3651"/>
    <w:rsid w:val="4AA57925"/>
    <w:rsid w:val="4ABE1C05"/>
    <w:rsid w:val="4AD66478"/>
    <w:rsid w:val="4AEC1DD8"/>
    <w:rsid w:val="4B076C12"/>
    <w:rsid w:val="4B1D5FF8"/>
    <w:rsid w:val="4B441943"/>
    <w:rsid w:val="4B4E65EF"/>
    <w:rsid w:val="4B7801D2"/>
    <w:rsid w:val="4B7D651B"/>
    <w:rsid w:val="4B822A60"/>
    <w:rsid w:val="4B9D1856"/>
    <w:rsid w:val="4BA40904"/>
    <w:rsid w:val="4BB34B76"/>
    <w:rsid w:val="4BD82EB8"/>
    <w:rsid w:val="4BDD519F"/>
    <w:rsid w:val="4C2F0C87"/>
    <w:rsid w:val="4C546E1B"/>
    <w:rsid w:val="4C5B61FB"/>
    <w:rsid w:val="4C6B4F7E"/>
    <w:rsid w:val="4C8D58D7"/>
    <w:rsid w:val="4CA87F80"/>
    <w:rsid w:val="4CB47EE4"/>
    <w:rsid w:val="4D186EB4"/>
    <w:rsid w:val="4D24076E"/>
    <w:rsid w:val="4D397668"/>
    <w:rsid w:val="4D425594"/>
    <w:rsid w:val="4D467227"/>
    <w:rsid w:val="4D897289"/>
    <w:rsid w:val="4DAE3029"/>
    <w:rsid w:val="4DCB39E3"/>
    <w:rsid w:val="4E1F7326"/>
    <w:rsid w:val="4E286627"/>
    <w:rsid w:val="4E4769A2"/>
    <w:rsid w:val="4E7D7917"/>
    <w:rsid w:val="4EAA4484"/>
    <w:rsid w:val="4EB90A9F"/>
    <w:rsid w:val="4EEC0F0D"/>
    <w:rsid w:val="4F0A6CD0"/>
    <w:rsid w:val="4F0B1D2F"/>
    <w:rsid w:val="4F331E3B"/>
    <w:rsid w:val="4F454F81"/>
    <w:rsid w:val="4F4C5E8F"/>
    <w:rsid w:val="4F647E6A"/>
    <w:rsid w:val="4F993CE0"/>
    <w:rsid w:val="4FA15887"/>
    <w:rsid w:val="4FC76764"/>
    <w:rsid w:val="4FD55530"/>
    <w:rsid w:val="4FD74E04"/>
    <w:rsid w:val="4FE941EC"/>
    <w:rsid w:val="4FF0477D"/>
    <w:rsid w:val="4FFD246A"/>
    <w:rsid w:val="501C4F0D"/>
    <w:rsid w:val="50331CE3"/>
    <w:rsid w:val="50566477"/>
    <w:rsid w:val="507E0525"/>
    <w:rsid w:val="508527AF"/>
    <w:rsid w:val="508B29B9"/>
    <w:rsid w:val="5091348A"/>
    <w:rsid w:val="50AE7B37"/>
    <w:rsid w:val="50EE5D07"/>
    <w:rsid w:val="50EE68AA"/>
    <w:rsid w:val="50F639B0"/>
    <w:rsid w:val="51182BC4"/>
    <w:rsid w:val="51257DF2"/>
    <w:rsid w:val="51294957"/>
    <w:rsid w:val="514E3B76"/>
    <w:rsid w:val="515871E2"/>
    <w:rsid w:val="518260BE"/>
    <w:rsid w:val="51870AAC"/>
    <w:rsid w:val="51A96C75"/>
    <w:rsid w:val="51AD6290"/>
    <w:rsid w:val="51CB0999"/>
    <w:rsid w:val="520D24F5"/>
    <w:rsid w:val="526B6DDA"/>
    <w:rsid w:val="527C10BF"/>
    <w:rsid w:val="52CA7437"/>
    <w:rsid w:val="530F33C3"/>
    <w:rsid w:val="533158C8"/>
    <w:rsid w:val="535F2CFA"/>
    <w:rsid w:val="53937294"/>
    <w:rsid w:val="53F2153D"/>
    <w:rsid w:val="53F94898"/>
    <w:rsid w:val="5419263F"/>
    <w:rsid w:val="54972DB4"/>
    <w:rsid w:val="54BC0090"/>
    <w:rsid w:val="54E847AA"/>
    <w:rsid w:val="54E96CBF"/>
    <w:rsid w:val="54ED0F8F"/>
    <w:rsid w:val="55085A60"/>
    <w:rsid w:val="553E6CA6"/>
    <w:rsid w:val="555848D5"/>
    <w:rsid w:val="555939BA"/>
    <w:rsid w:val="555962BC"/>
    <w:rsid w:val="557D0E30"/>
    <w:rsid w:val="55A37E1E"/>
    <w:rsid w:val="55A777C1"/>
    <w:rsid w:val="55B71C20"/>
    <w:rsid w:val="560A1318"/>
    <w:rsid w:val="56252E0A"/>
    <w:rsid w:val="563214A0"/>
    <w:rsid w:val="56472142"/>
    <w:rsid w:val="56617B1E"/>
    <w:rsid w:val="56633896"/>
    <w:rsid w:val="566F2177"/>
    <w:rsid w:val="569107CE"/>
    <w:rsid w:val="56A812A9"/>
    <w:rsid w:val="56BA5480"/>
    <w:rsid w:val="56DF0A43"/>
    <w:rsid w:val="57005A1E"/>
    <w:rsid w:val="571E2682"/>
    <w:rsid w:val="573214BA"/>
    <w:rsid w:val="57392849"/>
    <w:rsid w:val="579B77E8"/>
    <w:rsid w:val="57BB4C3E"/>
    <w:rsid w:val="57CF2865"/>
    <w:rsid w:val="57D41F48"/>
    <w:rsid w:val="57DA3E0C"/>
    <w:rsid w:val="57EC7B78"/>
    <w:rsid w:val="57F95B34"/>
    <w:rsid w:val="58104287"/>
    <w:rsid w:val="58624F0E"/>
    <w:rsid w:val="58C836CC"/>
    <w:rsid w:val="58C86A48"/>
    <w:rsid w:val="58D72319"/>
    <w:rsid w:val="59554FEC"/>
    <w:rsid w:val="59575208"/>
    <w:rsid w:val="595A3935"/>
    <w:rsid w:val="59995821"/>
    <w:rsid w:val="59A463F5"/>
    <w:rsid w:val="59C669A8"/>
    <w:rsid w:val="59DC0AF8"/>
    <w:rsid w:val="59E85001"/>
    <w:rsid w:val="59EA1A1C"/>
    <w:rsid w:val="5A355549"/>
    <w:rsid w:val="5A95084C"/>
    <w:rsid w:val="5A9F47A4"/>
    <w:rsid w:val="5AB743D4"/>
    <w:rsid w:val="5AC327EF"/>
    <w:rsid w:val="5AFC6067"/>
    <w:rsid w:val="5B0A709B"/>
    <w:rsid w:val="5B223D17"/>
    <w:rsid w:val="5B3F7C6F"/>
    <w:rsid w:val="5B4D423E"/>
    <w:rsid w:val="5B7C4531"/>
    <w:rsid w:val="5B90051B"/>
    <w:rsid w:val="5B955B74"/>
    <w:rsid w:val="5BAC6B90"/>
    <w:rsid w:val="5BF032C8"/>
    <w:rsid w:val="5C5A5B0B"/>
    <w:rsid w:val="5C713E90"/>
    <w:rsid w:val="5CA2679A"/>
    <w:rsid w:val="5CB270B2"/>
    <w:rsid w:val="5CBC6E48"/>
    <w:rsid w:val="5CD04078"/>
    <w:rsid w:val="5CD97003"/>
    <w:rsid w:val="5D1C479E"/>
    <w:rsid w:val="5D5B54A7"/>
    <w:rsid w:val="5D6B1D76"/>
    <w:rsid w:val="5D775E79"/>
    <w:rsid w:val="5D7F760E"/>
    <w:rsid w:val="5DE64B7E"/>
    <w:rsid w:val="5DED4548"/>
    <w:rsid w:val="5E484289"/>
    <w:rsid w:val="5E6337EF"/>
    <w:rsid w:val="5E8978AE"/>
    <w:rsid w:val="5EAE5FDB"/>
    <w:rsid w:val="5EB804F7"/>
    <w:rsid w:val="5EBA0816"/>
    <w:rsid w:val="5ECF4B2F"/>
    <w:rsid w:val="5EDA66BF"/>
    <w:rsid w:val="5EE266ED"/>
    <w:rsid w:val="5F0A3934"/>
    <w:rsid w:val="5F17346F"/>
    <w:rsid w:val="5F2C1A35"/>
    <w:rsid w:val="5F78666E"/>
    <w:rsid w:val="5F862D67"/>
    <w:rsid w:val="5FAA1D8F"/>
    <w:rsid w:val="5FBC48B5"/>
    <w:rsid w:val="5FE01AB3"/>
    <w:rsid w:val="6032642D"/>
    <w:rsid w:val="6037692D"/>
    <w:rsid w:val="60462F55"/>
    <w:rsid w:val="605162FA"/>
    <w:rsid w:val="60940985"/>
    <w:rsid w:val="60A8771C"/>
    <w:rsid w:val="60C95D53"/>
    <w:rsid w:val="60CD72F3"/>
    <w:rsid w:val="60D40EEC"/>
    <w:rsid w:val="60E204CA"/>
    <w:rsid w:val="61210E7C"/>
    <w:rsid w:val="61321C59"/>
    <w:rsid w:val="615F614C"/>
    <w:rsid w:val="6162474A"/>
    <w:rsid w:val="617A3FA9"/>
    <w:rsid w:val="61BC7178"/>
    <w:rsid w:val="61D92C5E"/>
    <w:rsid w:val="61DF5D9B"/>
    <w:rsid w:val="61FA2B4F"/>
    <w:rsid w:val="62091EEE"/>
    <w:rsid w:val="620A76A0"/>
    <w:rsid w:val="62373E29"/>
    <w:rsid w:val="62404835"/>
    <w:rsid w:val="629F3AFA"/>
    <w:rsid w:val="62A74B0A"/>
    <w:rsid w:val="62A96AD4"/>
    <w:rsid w:val="62D45A70"/>
    <w:rsid w:val="62E57365"/>
    <w:rsid w:val="62EF200D"/>
    <w:rsid w:val="630A6AEC"/>
    <w:rsid w:val="631F3A33"/>
    <w:rsid w:val="633839B4"/>
    <w:rsid w:val="634560D1"/>
    <w:rsid w:val="637A2FD0"/>
    <w:rsid w:val="63977FDC"/>
    <w:rsid w:val="63C24CBD"/>
    <w:rsid w:val="63D45982"/>
    <w:rsid w:val="63E63410"/>
    <w:rsid w:val="63E87188"/>
    <w:rsid w:val="63FB737E"/>
    <w:rsid w:val="642B1D0E"/>
    <w:rsid w:val="64957705"/>
    <w:rsid w:val="64C03C61"/>
    <w:rsid w:val="64EA2050"/>
    <w:rsid w:val="65104CEC"/>
    <w:rsid w:val="6516296A"/>
    <w:rsid w:val="65193616"/>
    <w:rsid w:val="65355E7E"/>
    <w:rsid w:val="655905BE"/>
    <w:rsid w:val="657145DF"/>
    <w:rsid w:val="65725E13"/>
    <w:rsid w:val="65735612"/>
    <w:rsid w:val="65853C22"/>
    <w:rsid w:val="65984BDE"/>
    <w:rsid w:val="65AB31E9"/>
    <w:rsid w:val="65AE7F5E"/>
    <w:rsid w:val="65D41E78"/>
    <w:rsid w:val="65ED5196"/>
    <w:rsid w:val="65F31BDB"/>
    <w:rsid w:val="66326DE1"/>
    <w:rsid w:val="66344AA3"/>
    <w:rsid w:val="664E34EF"/>
    <w:rsid w:val="667F1ADA"/>
    <w:rsid w:val="669453A6"/>
    <w:rsid w:val="67193AFD"/>
    <w:rsid w:val="6728246A"/>
    <w:rsid w:val="67493A9D"/>
    <w:rsid w:val="67626C3F"/>
    <w:rsid w:val="676A0794"/>
    <w:rsid w:val="67AF4936"/>
    <w:rsid w:val="67F6117C"/>
    <w:rsid w:val="681C38A5"/>
    <w:rsid w:val="682E7136"/>
    <w:rsid w:val="686D1BC4"/>
    <w:rsid w:val="689E075E"/>
    <w:rsid w:val="68CC47E7"/>
    <w:rsid w:val="68DA632A"/>
    <w:rsid w:val="68E934F8"/>
    <w:rsid w:val="69017F67"/>
    <w:rsid w:val="690507DD"/>
    <w:rsid w:val="692056EC"/>
    <w:rsid w:val="69531BEA"/>
    <w:rsid w:val="696812DA"/>
    <w:rsid w:val="696D5A01"/>
    <w:rsid w:val="699D6C67"/>
    <w:rsid w:val="69D65CD5"/>
    <w:rsid w:val="6A1371D0"/>
    <w:rsid w:val="6A243EC9"/>
    <w:rsid w:val="6A3273AF"/>
    <w:rsid w:val="6A43382F"/>
    <w:rsid w:val="6A876E17"/>
    <w:rsid w:val="6A9040D6"/>
    <w:rsid w:val="6A9A5AB8"/>
    <w:rsid w:val="6AA61B4B"/>
    <w:rsid w:val="6AB844F7"/>
    <w:rsid w:val="6B4A53DB"/>
    <w:rsid w:val="6B5D08E6"/>
    <w:rsid w:val="6B9145AA"/>
    <w:rsid w:val="6B965B6B"/>
    <w:rsid w:val="6B9B13F6"/>
    <w:rsid w:val="6BD821D8"/>
    <w:rsid w:val="6BE03876"/>
    <w:rsid w:val="6C0C59DE"/>
    <w:rsid w:val="6C150DF6"/>
    <w:rsid w:val="6C1D5AE4"/>
    <w:rsid w:val="6C2F7E97"/>
    <w:rsid w:val="6C4C4875"/>
    <w:rsid w:val="6C54667F"/>
    <w:rsid w:val="6C682587"/>
    <w:rsid w:val="6C732A25"/>
    <w:rsid w:val="6C7F08A6"/>
    <w:rsid w:val="6C867D13"/>
    <w:rsid w:val="6CA86ED0"/>
    <w:rsid w:val="6CC34AF7"/>
    <w:rsid w:val="6D2F62DE"/>
    <w:rsid w:val="6D5767B9"/>
    <w:rsid w:val="6D5874CE"/>
    <w:rsid w:val="6D994AB9"/>
    <w:rsid w:val="6DCB6F5D"/>
    <w:rsid w:val="6DE6073B"/>
    <w:rsid w:val="6DE64BDB"/>
    <w:rsid w:val="6E5B5E22"/>
    <w:rsid w:val="6E640AFA"/>
    <w:rsid w:val="6E906D9A"/>
    <w:rsid w:val="6E9D5767"/>
    <w:rsid w:val="6EE12E6E"/>
    <w:rsid w:val="6EF431A6"/>
    <w:rsid w:val="6EF54996"/>
    <w:rsid w:val="6F12155D"/>
    <w:rsid w:val="6F3911E0"/>
    <w:rsid w:val="6F402272"/>
    <w:rsid w:val="6F5E3012"/>
    <w:rsid w:val="6F753727"/>
    <w:rsid w:val="6FA56875"/>
    <w:rsid w:val="6FA64444"/>
    <w:rsid w:val="6FD131C7"/>
    <w:rsid w:val="6FE21015"/>
    <w:rsid w:val="70124B62"/>
    <w:rsid w:val="70220B57"/>
    <w:rsid w:val="70457711"/>
    <w:rsid w:val="705160B5"/>
    <w:rsid w:val="705A78CB"/>
    <w:rsid w:val="70635AE0"/>
    <w:rsid w:val="709578C1"/>
    <w:rsid w:val="70B76860"/>
    <w:rsid w:val="70C64CF5"/>
    <w:rsid w:val="70CB5E68"/>
    <w:rsid w:val="70D64C83"/>
    <w:rsid w:val="70E46F2A"/>
    <w:rsid w:val="70E60EF4"/>
    <w:rsid w:val="71007BD1"/>
    <w:rsid w:val="714724C5"/>
    <w:rsid w:val="715E0A8A"/>
    <w:rsid w:val="719E5F52"/>
    <w:rsid w:val="71A60373"/>
    <w:rsid w:val="71AB492B"/>
    <w:rsid w:val="71E87711"/>
    <w:rsid w:val="71ED22CE"/>
    <w:rsid w:val="722E2B52"/>
    <w:rsid w:val="72441FCA"/>
    <w:rsid w:val="724A54CC"/>
    <w:rsid w:val="725620A9"/>
    <w:rsid w:val="726040AD"/>
    <w:rsid w:val="72B0134C"/>
    <w:rsid w:val="72DE56EC"/>
    <w:rsid w:val="72F07BA7"/>
    <w:rsid w:val="72F83160"/>
    <w:rsid w:val="72FC6A6A"/>
    <w:rsid w:val="73025B47"/>
    <w:rsid w:val="73164F06"/>
    <w:rsid w:val="731F08B7"/>
    <w:rsid w:val="732B24AC"/>
    <w:rsid w:val="733A3E46"/>
    <w:rsid w:val="733E6DC5"/>
    <w:rsid w:val="73467F88"/>
    <w:rsid w:val="73593414"/>
    <w:rsid w:val="73927EC3"/>
    <w:rsid w:val="739F35DC"/>
    <w:rsid w:val="73A006C0"/>
    <w:rsid w:val="73A30645"/>
    <w:rsid w:val="73CB1335"/>
    <w:rsid w:val="73D12146"/>
    <w:rsid w:val="73D9089C"/>
    <w:rsid w:val="73EC4A73"/>
    <w:rsid w:val="74154BEF"/>
    <w:rsid w:val="74257F85"/>
    <w:rsid w:val="743B3304"/>
    <w:rsid w:val="743C145A"/>
    <w:rsid w:val="744321B9"/>
    <w:rsid w:val="747B7AD2"/>
    <w:rsid w:val="74972D33"/>
    <w:rsid w:val="74B045B8"/>
    <w:rsid w:val="74D539DC"/>
    <w:rsid w:val="74FD7007"/>
    <w:rsid w:val="751B70E4"/>
    <w:rsid w:val="751C3136"/>
    <w:rsid w:val="75657B9E"/>
    <w:rsid w:val="758A3D6D"/>
    <w:rsid w:val="758E56B6"/>
    <w:rsid w:val="759A04FF"/>
    <w:rsid w:val="761262E7"/>
    <w:rsid w:val="76404C02"/>
    <w:rsid w:val="7662726E"/>
    <w:rsid w:val="76A9518E"/>
    <w:rsid w:val="76AF246C"/>
    <w:rsid w:val="76C03F95"/>
    <w:rsid w:val="76C57105"/>
    <w:rsid w:val="771B186E"/>
    <w:rsid w:val="771D1E44"/>
    <w:rsid w:val="774877AB"/>
    <w:rsid w:val="778B6D26"/>
    <w:rsid w:val="779157E4"/>
    <w:rsid w:val="779C1F25"/>
    <w:rsid w:val="77AE003B"/>
    <w:rsid w:val="77B16794"/>
    <w:rsid w:val="77CA4EC1"/>
    <w:rsid w:val="77E617D9"/>
    <w:rsid w:val="77FB154C"/>
    <w:rsid w:val="781B5F00"/>
    <w:rsid w:val="783A55A8"/>
    <w:rsid w:val="78486F3F"/>
    <w:rsid w:val="78AF606F"/>
    <w:rsid w:val="78B35B1C"/>
    <w:rsid w:val="78F600C7"/>
    <w:rsid w:val="79027A7F"/>
    <w:rsid w:val="7915366D"/>
    <w:rsid w:val="79182211"/>
    <w:rsid w:val="79257C48"/>
    <w:rsid w:val="79450781"/>
    <w:rsid w:val="795F7A95"/>
    <w:rsid w:val="79636D79"/>
    <w:rsid w:val="79685FF1"/>
    <w:rsid w:val="796F68CD"/>
    <w:rsid w:val="796F7230"/>
    <w:rsid w:val="79765A67"/>
    <w:rsid w:val="797F123F"/>
    <w:rsid w:val="798A0AC8"/>
    <w:rsid w:val="79C2579A"/>
    <w:rsid w:val="79D12015"/>
    <w:rsid w:val="79E12856"/>
    <w:rsid w:val="7A41363F"/>
    <w:rsid w:val="7A5A101B"/>
    <w:rsid w:val="7A5C325C"/>
    <w:rsid w:val="7A5E4A38"/>
    <w:rsid w:val="7AA83E5B"/>
    <w:rsid w:val="7AB61937"/>
    <w:rsid w:val="7AE85F45"/>
    <w:rsid w:val="7AE962B9"/>
    <w:rsid w:val="7B0E78ED"/>
    <w:rsid w:val="7B1524FF"/>
    <w:rsid w:val="7B1852D9"/>
    <w:rsid w:val="7B3C7F44"/>
    <w:rsid w:val="7B4140E1"/>
    <w:rsid w:val="7B4A71D8"/>
    <w:rsid w:val="7B7A2964"/>
    <w:rsid w:val="7B7C3B71"/>
    <w:rsid w:val="7B9808AF"/>
    <w:rsid w:val="7BA35EF2"/>
    <w:rsid w:val="7BAB08E8"/>
    <w:rsid w:val="7BB57A49"/>
    <w:rsid w:val="7BBF00F4"/>
    <w:rsid w:val="7BD44D4D"/>
    <w:rsid w:val="7C1002B2"/>
    <w:rsid w:val="7C5E355A"/>
    <w:rsid w:val="7C6C6378"/>
    <w:rsid w:val="7C795AAC"/>
    <w:rsid w:val="7C7C0F8B"/>
    <w:rsid w:val="7C7D364A"/>
    <w:rsid w:val="7CB579CC"/>
    <w:rsid w:val="7CB95B02"/>
    <w:rsid w:val="7CC41F9C"/>
    <w:rsid w:val="7D191170"/>
    <w:rsid w:val="7D23174B"/>
    <w:rsid w:val="7D4973CC"/>
    <w:rsid w:val="7D4F552F"/>
    <w:rsid w:val="7D602A0C"/>
    <w:rsid w:val="7D672EF2"/>
    <w:rsid w:val="7D7A1B46"/>
    <w:rsid w:val="7D943A85"/>
    <w:rsid w:val="7DAF266D"/>
    <w:rsid w:val="7DB008BF"/>
    <w:rsid w:val="7DCD1608"/>
    <w:rsid w:val="7DD1378F"/>
    <w:rsid w:val="7DD97789"/>
    <w:rsid w:val="7DE96CEB"/>
    <w:rsid w:val="7E4F1653"/>
    <w:rsid w:val="7E7D753D"/>
    <w:rsid w:val="7E81400A"/>
    <w:rsid w:val="7EB93171"/>
    <w:rsid w:val="7EDD1465"/>
    <w:rsid w:val="7EEC0375"/>
    <w:rsid w:val="7EFB6EDC"/>
    <w:rsid w:val="7F0D3AEF"/>
    <w:rsid w:val="7FC248DA"/>
    <w:rsid w:val="7FE01204"/>
    <w:rsid w:val="7FE871CE"/>
    <w:rsid w:val="7FEF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before="340" w:after="330" w:line="576" w:lineRule="auto"/>
      <w:outlineLvl w:val="0"/>
    </w:pPr>
    <w:rPr>
      <w:b/>
      <w:kern w:val="44"/>
      <w:sz w:val="44"/>
    </w:rPr>
  </w:style>
  <w:style w:type="paragraph" w:styleId="3">
    <w:name w:val="heading 4"/>
    <w:basedOn w:val="1"/>
    <w:next w:val="1"/>
    <w:qFormat/>
    <w:uiPriority w:val="9"/>
    <w:pPr>
      <w:keepNext/>
      <w:keepLines/>
      <w:spacing w:line="360" w:lineRule="auto"/>
      <w:outlineLvl w:val="3"/>
    </w:pPr>
    <w:rPr>
      <w:rFonts w:ascii="Arial" w:hAnsi="Arial"/>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spacing w:line="360" w:lineRule="auto"/>
      <w:ind w:left="420"/>
      <w:jc w:val="left"/>
    </w:pPr>
    <w:rPr>
      <w:rFonts w:ascii="Times New Roman" w:hAnsi="Times New Roman" w:eastAsia="宋体" w:cs="Times New Roman"/>
    </w:rPr>
  </w:style>
  <w:style w:type="paragraph" w:styleId="5">
    <w:name w:val="Body Text"/>
    <w:basedOn w:val="1"/>
    <w:unhideWhenUsed/>
    <w:qFormat/>
    <w:uiPriority w:val="99"/>
    <w:pPr>
      <w:spacing w:after="120"/>
    </w:pPr>
  </w:style>
  <w:style w:type="paragraph" w:styleId="6">
    <w:name w:val="Body Text Indent"/>
    <w:basedOn w:val="1"/>
    <w:unhideWhenUsed/>
    <w:qFormat/>
    <w:uiPriority w:val="99"/>
    <w:pPr>
      <w:ind w:left="420" w:leftChars="200"/>
    </w:pPr>
  </w:style>
  <w:style w:type="paragraph" w:styleId="7">
    <w:name w:val="Body Text Indent 2"/>
    <w:basedOn w:val="1"/>
    <w:qFormat/>
    <w:uiPriority w:val="0"/>
    <w:pPr>
      <w:spacing w:after="120" w:afterLines="0" w:afterAutospacing="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qFormat/>
    <w:uiPriority w:val="0"/>
    <w:pPr>
      <w:ind w:firstLine="880" w:firstLineChars="200"/>
    </w:pPr>
  </w:style>
  <w:style w:type="paragraph" w:styleId="12">
    <w:name w:val="Body Text First Indent 2"/>
    <w:basedOn w:val="6"/>
    <w:unhideWhenUsed/>
    <w:qFormat/>
    <w:uiPriority w:val="99"/>
    <w:pPr>
      <w:ind w:firstLine="210" w:firstLineChars="200"/>
    </w:pPr>
    <w:rPr>
      <w:sz w:val="28"/>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p16"/>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标题 1 Char"/>
    <w:link w:val="2"/>
    <w:qFormat/>
    <w:uiPriority w:val="0"/>
    <w:rPr>
      <w:b/>
      <w:kern w:val="44"/>
      <w:sz w:val="44"/>
    </w:rPr>
  </w:style>
  <w:style w:type="character" w:customStyle="1" w:styleId="19">
    <w:name w:val="NormalCharacter"/>
    <w:qFormat/>
    <w:uiPriority w:val="99"/>
    <w:rPr>
      <w:kern w:val="2"/>
      <w:sz w:val="21"/>
      <w:szCs w:val="22"/>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BodyText1I2"/>
    <w:basedOn w:val="22"/>
    <w:autoRedefine/>
    <w:unhideWhenUsed/>
    <w:qFormat/>
    <w:uiPriority w:val="0"/>
    <w:pPr>
      <w:spacing w:beforeLines="0" w:afterLines="0"/>
      <w:ind w:firstLine="210" w:firstLineChars="200"/>
    </w:pPr>
    <w:rPr>
      <w:rFonts w:hint="eastAsia"/>
      <w:sz w:val="28"/>
    </w:rPr>
  </w:style>
  <w:style w:type="paragraph" w:customStyle="1" w:styleId="22">
    <w:name w:val="BodyTextIndent"/>
    <w:basedOn w:val="1"/>
    <w:autoRedefine/>
    <w:unhideWhenUsed/>
    <w:qFormat/>
    <w:uiPriority w:val="0"/>
    <w:pPr>
      <w:spacing w:beforeLines="0" w:afterLines="0"/>
      <w:ind w:left="420" w:leftChars="200"/>
    </w:pPr>
    <w:rPr>
      <w:rFonts w:hint="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20</Pages>
  <Words>10160</Words>
  <Characters>10691</Characters>
  <Lines>73</Lines>
  <Paragraphs>20</Paragraphs>
  <TotalTime>6</TotalTime>
  <ScaleCrop>false</ScaleCrop>
  <LinksUpToDate>false</LinksUpToDate>
  <CharactersWithSpaces>10693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2019-01-03T01:23:00Z</dcterms:created>
  <dc:creator>大栅极</dc:creator>
  <cp:lastModifiedBy>预则立</cp:lastModifiedBy>
  <cp:lastPrinted>2024-10-23T02:28:00Z</cp:lastPrinted>
  <dcterms:modified xsi:type="dcterms:W3CDTF">2024-12-24T09:12:52Z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08E2FFF2DF6341CDBB11614B7B4A06F0_13</vt:lpwstr>
  </property>
</Properties>
</file>