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2.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B4423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jc w:val="center"/>
        <w:rPr>
          <w:rFonts w:hint="eastAsia" w:ascii="Microsoft YaHei UI" w:hAnsi="Microsoft YaHei UI" w:eastAsia="Microsoft YaHei UI" w:cs="Microsoft YaHei UI"/>
          <w:i w:val="0"/>
          <w:iCs w:val="0"/>
          <w:caps w:val="0"/>
          <w:spacing w:val="8"/>
          <w:sz w:val="33"/>
          <w:szCs w:val="33"/>
          <w:bdr w:val="none" w:color="auto" w:sz="0" w:space="0"/>
          <w:shd w:val="clear" w:fill="FFFFFF"/>
        </w:rPr>
      </w:pPr>
      <w:r>
        <w:rPr>
          <w:rFonts w:hint="eastAsia" w:ascii="Microsoft YaHei UI" w:hAnsi="Microsoft YaHei UI" w:eastAsia="Microsoft YaHei UI" w:cs="Microsoft YaHei UI"/>
          <w:i w:val="0"/>
          <w:iCs w:val="0"/>
          <w:caps w:val="0"/>
          <w:spacing w:val="8"/>
          <w:sz w:val="33"/>
          <w:szCs w:val="33"/>
          <w:bdr w:val="none" w:color="auto" w:sz="0" w:space="0"/>
          <w:shd w:val="clear" w:fill="FFFFFF"/>
        </w:rPr>
        <w:t>【双报到、双服务、双报告】五福堂社区共驻共建单位大沁他拉镇政府走进社区为贫困户送去关怀与救助</w:t>
      </w:r>
    </w:p>
    <w:p w14:paraId="421EF44E"/>
    <w:p w14:paraId="1E1DB899">
      <w:bookmarkStart w:id="0" w:name="_GoBack"/>
      <w:bookmarkEnd w:id="0"/>
    </w:p>
    <w:p w14:paraId="70A4A7E6">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cs="仿宋"/>
          <w:kern w:val="0"/>
          <w:sz w:val="32"/>
          <w:szCs w:val="32"/>
          <w:lang w:val="en-US" w:eastAsia="zh-CN" w:bidi="ar"/>
        </w:rPr>
      </w:pPr>
      <w:r>
        <w:rPr>
          <w:rFonts w:hint="eastAsia" w:ascii="仿宋" w:hAnsi="仿宋" w:eastAsia="仿宋" w:cs="仿宋"/>
          <w:kern w:val="0"/>
          <w:sz w:val="32"/>
          <w:szCs w:val="32"/>
          <w:lang w:val="en-US" w:eastAsia="zh-CN" w:bidi="ar"/>
        </w:rPr>
        <w:t>为深入推进“双报到，双服务，双报告”工作，加强社区与共驻共建单位的联系，切实为社区困难群众办实事、解难题，12月1日，五福堂社区共驻共建单位大沁他拉镇政府来到社区，积极开展走访慰问辖区贫困户活动，为他们送去了关怀与帮扶救助。</w:t>
      </w:r>
    </w:p>
    <w:p w14:paraId="69EDC145">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cs="仿宋"/>
          <w:kern w:val="0"/>
          <w:sz w:val="32"/>
          <w:szCs w:val="32"/>
          <w:lang w:val="en-US" w:eastAsia="zh-CN" w:bidi="ar"/>
        </w:rPr>
      </w:pPr>
    </w:p>
    <w:p w14:paraId="25216E94">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cs="仿宋"/>
          <w:kern w:val="0"/>
          <w:sz w:val="32"/>
          <w:szCs w:val="32"/>
          <w:lang w:val="en-US" w:eastAsia="zh-CN" w:bidi="ar"/>
        </w:rPr>
      </w:pPr>
    </w:p>
    <w:p w14:paraId="14B7EC67">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drawing>
          <wp:inline distT="0" distB="0" distL="114300" distR="114300">
            <wp:extent cx="5255895" cy="3931920"/>
            <wp:effectExtent l="0" t="0" r="1905" b="1143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255895" cy="3931920"/>
                    </a:xfrm>
                    <a:prstGeom prst="rect">
                      <a:avLst/>
                    </a:prstGeom>
                    <a:noFill/>
                    <a:ln w="9525">
                      <a:noFill/>
                    </a:ln>
                  </pic:spPr>
                </pic:pic>
              </a:graphicData>
            </a:graphic>
          </wp:inline>
        </w:drawing>
      </w:r>
    </w:p>
    <w:p w14:paraId="5A2B71B5">
      <w:pPr>
        <w:keepNext w:val="0"/>
        <w:keepLines w:val="0"/>
        <w:widowControl/>
        <w:suppressLineNumbers w:val="0"/>
        <w:jc w:val="left"/>
        <w:rPr>
          <w:rFonts w:ascii="宋体" w:hAnsi="宋体" w:eastAsia="宋体" w:cs="宋体"/>
          <w:sz w:val="24"/>
          <w:szCs w:val="24"/>
        </w:rPr>
      </w:pPr>
    </w:p>
    <w:p w14:paraId="02769DA3">
      <w:pPr>
        <w:keepNext w:val="0"/>
        <w:keepLines w:val="0"/>
        <w:widowControl/>
        <w:suppressLineNumbers w:val="0"/>
        <w:jc w:val="left"/>
        <w:rPr>
          <w:rFonts w:ascii="宋体" w:hAnsi="宋体" w:eastAsia="宋体" w:cs="宋体"/>
          <w:sz w:val="24"/>
          <w:szCs w:val="24"/>
        </w:rPr>
      </w:pPr>
    </w:p>
    <w:p w14:paraId="485DCF35">
      <w:pPr>
        <w:keepNext w:val="0"/>
        <w:keepLines w:val="0"/>
        <w:widowControl/>
        <w:suppressLineNumbers w:val="0"/>
        <w:jc w:val="left"/>
        <w:rPr>
          <w:rFonts w:ascii="宋体" w:hAnsi="宋体" w:eastAsia="宋体" w:cs="宋体"/>
          <w:sz w:val="24"/>
          <w:szCs w:val="24"/>
        </w:rPr>
      </w:pPr>
    </w:p>
    <w:p w14:paraId="5A8D961C">
      <w:pPr>
        <w:keepNext w:val="0"/>
        <w:keepLines w:val="0"/>
        <w:widowControl/>
        <w:suppressLineNumbers w:val="0"/>
        <w:jc w:val="left"/>
        <w:rPr>
          <w:rFonts w:ascii="宋体" w:hAnsi="宋体" w:eastAsia="宋体" w:cs="宋体"/>
          <w:sz w:val="24"/>
          <w:szCs w:val="24"/>
        </w:rPr>
      </w:pPr>
    </w:p>
    <w:p w14:paraId="56CDF5AA">
      <w:pPr>
        <w:keepNext w:val="0"/>
        <w:keepLines w:val="0"/>
        <w:widowControl/>
        <w:suppressLineNumbers w:val="0"/>
        <w:jc w:val="left"/>
        <w:rPr>
          <w:rFonts w:ascii="宋体" w:hAnsi="宋体" w:eastAsia="宋体" w:cs="宋体"/>
          <w:sz w:val="24"/>
          <w:szCs w:val="24"/>
        </w:rPr>
      </w:pPr>
    </w:p>
    <w:p w14:paraId="3396851B">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cs="仿宋"/>
          <w:kern w:val="0"/>
          <w:sz w:val="32"/>
          <w:szCs w:val="32"/>
          <w:lang w:val="en-US" w:eastAsia="zh-CN" w:bidi="ar"/>
        </w:rPr>
      </w:pPr>
      <w:r>
        <w:rPr>
          <w:rFonts w:hint="eastAsia" w:ascii="仿宋" w:hAnsi="仿宋" w:eastAsia="仿宋" w:cs="仿宋"/>
          <w:kern w:val="0"/>
          <w:sz w:val="32"/>
          <w:szCs w:val="32"/>
          <w:lang w:val="en-US" w:eastAsia="zh-CN" w:bidi="ar"/>
        </w:rPr>
        <w:t>活动现场，大沁他拉镇政府的党员们走进贫困户张某家中，与他亲切交谈，详细询问了他家的生活情况以及目前所面临的困难，认真倾听他的心声和诉求，鼓励他要保持乐观积极的生活态度，勇敢面对生活中的挑战。党员们为贫困户送上了米、面、油等生活物资，这些帮扶救助物品承载着满满的关爱，让贫困户们切实感受到了来自社区共驻共建单位的温暖与支持。贫困户张某表达了感激之情，表示在党和政府以及各界的关心下，一定会努力克服困难，积极生活。</w:t>
      </w:r>
    </w:p>
    <w:p w14:paraId="0FBB4AA4">
      <w:pPr>
        <w:keepNext w:val="0"/>
        <w:keepLines w:val="0"/>
        <w:pageBreakBefore w:val="0"/>
        <w:widowControl/>
        <w:suppressLineNumbers w:val="0"/>
        <w:kinsoku/>
        <w:wordWrap/>
        <w:overflowPunct/>
        <w:topLinePunct w:val="0"/>
        <w:autoSpaceDE/>
        <w:autoSpaceDN/>
        <w:bidi w:val="0"/>
        <w:adjustRightInd/>
        <w:snapToGrid/>
        <w:jc w:val="left"/>
        <w:textAlignment w:val="auto"/>
        <w:rPr>
          <w:rFonts w:hint="eastAsia" w:ascii="仿宋" w:hAnsi="仿宋" w:eastAsia="仿宋" w:cs="仿宋"/>
          <w:kern w:val="0"/>
          <w:sz w:val="32"/>
          <w:szCs w:val="32"/>
          <w:lang w:val="en-US" w:eastAsia="zh-CN" w:bidi="ar"/>
        </w:rPr>
      </w:pPr>
    </w:p>
    <w:p w14:paraId="6296518E">
      <w:pPr>
        <w:keepNext w:val="0"/>
        <w:keepLines w:val="0"/>
        <w:widowControl/>
        <w:suppressLineNumbers w:val="0"/>
        <w:jc w:val="left"/>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drawing>
          <wp:inline distT="0" distB="0" distL="114300" distR="114300">
            <wp:extent cx="5255895" cy="3931920"/>
            <wp:effectExtent l="0" t="0" r="1905" b="11430"/>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5"/>
                    <a:stretch>
                      <a:fillRect/>
                    </a:stretch>
                  </pic:blipFill>
                  <pic:spPr>
                    <a:xfrm>
                      <a:off x="0" y="0"/>
                      <a:ext cx="5255895" cy="3931920"/>
                    </a:xfrm>
                    <a:prstGeom prst="rect">
                      <a:avLst/>
                    </a:prstGeom>
                    <a:noFill/>
                    <a:ln w="9525">
                      <a:noFill/>
                    </a:ln>
                  </pic:spPr>
                </pic:pic>
              </a:graphicData>
            </a:graphic>
          </wp:inline>
        </w:drawing>
      </w:r>
    </w:p>
    <w:p w14:paraId="729500C4">
      <w:pPr>
        <w:keepNext w:val="0"/>
        <w:keepLines w:val="0"/>
        <w:widowControl/>
        <w:suppressLineNumbers w:val="0"/>
        <w:jc w:val="left"/>
        <w:rPr>
          <w:rFonts w:ascii="宋体" w:hAnsi="宋体" w:eastAsia="宋体" w:cs="宋体"/>
          <w:kern w:val="0"/>
          <w:sz w:val="24"/>
          <w:szCs w:val="24"/>
          <w:lang w:val="en-US" w:eastAsia="zh-CN" w:bidi="ar"/>
        </w:rPr>
      </w:pPr>
    </w:p>
    <w:p w14:paraId="24225EE8">
      <w:pPr>
        <w:keepNext w:val="0"/>
        <w:keepLines w:val="0"/>
        <w:widowControl/>
        <w:suppressLineNumbers w:val="0"/>
        <w:jc w:val="left"/>
        <w:rPr>
          <w:rFonts w:ascii="宋体" w:hAnsi="宋体" w:eastAsia="宋体" w:cs="宋体"/>
          <w:kern w:val="0"/>
          <w:sz w:val="24"/>
          <w:szCs w:val="24"/>
          <w:lang w:val="en-US" w:eastAsia="zh-CN" w:bidi="ar"/>
        </w:rPr>
      </w:pPr>
    </w:p>
    <w:p w14:paraId="46799CB6">
      <w:pPr>
        <w:keepNext w:val="0"/>
        <w:keepLines w:val="0"/>
        <w:widowControl/>
        <w:suppressLineNumbers w:val="0"/>
        <w:jc w:val="left"/>
        <w:rPr>
          <w:rFonts w:ascii="宋体" w:hAnsi="宋体" w:eastAsia="宋体" w:cs="宋体"/>
          <w:kern w:val="0"/>
          <w:sz w:val="24"/>
          <w:szCs w:val="24"/>
          <w:lang w:val="en-US" w:eastAsia="zh-CN" w:bidi="ar"/>
        </w:rPr>
      </w:pPr>
    </w:p>
    <w:p w14:paraId="13795D25">
      <w:pPr>
        <w:keepNext w:val="0"/>
        <w:keepLines w:val="0"/>
        <w:widowControl/>
        <w:suppressLineNumbers w:val="0"/>
        <w:jc w:val="left"/>
        <w:rPr>
          <w:rFonts w:ascii="宋体" w:hAnsi="宋体" w:eastAsia="宋体" w:cs="宋体"/>
          <w:kern w:val="0"/>
          <w:sz w:val="24"/>
          <w:szCs w:val="24"/>
          <w:lang w:val="en-US" w:eastAsia="zh-CN" w:bidi="ar"/>
        </w:rPr>
      </w:pPr>
    </w:p>
    <w:p w14:paraId="61D5D100">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cs="仿宋"/>
          <w:kern w:val="0"/>
          <w:sz w:val="32"/>
          <w:szCs w:val="32"/>
          <w:lang w:val="en-US" w:eastAsia="zh-CN" w:bidi="ar"/>
        </w:rPr>
      </w:pPr>
      <w:r>
        <w:rPr>
          <w:rFonts w:hint="eastAsia" w:ascii="仿宋" w:hAnsi="仿宋" w:eastAsia="仿宋" w:cs="仿宋"/>
          <w:kern w:val="0"/>
          <w:sz w:val="32"/>
          <w:szCs w:val="32"/>
          <w:lang w:val="en-US" w:eastAsia="zh-CN" w:bidi="ar"/>
        </w:rPr>
        <w:t>此次“双报到，双服务，双报告”活动，不仅体现了大沁他拉镇政府对社区困难群众的关心关爱，也进一步拉近了社区、共驻共建单位与居民之间的距离，增强了社区的凝聚力和向心力。下一步，五福堂社区将继续携手大沁他拉镇政府等共驻共建单位，常态化开展各类服务活动，不断提升社区居民的幸福感和满意度。</w:t>
      </w:r>
    </w:p>
    <w:p w14:paraId="2A78CB65">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cs="仿宋"/>
          <w:kern w:val="0"/>
          <w:sz w:val="32"/>
          <w:szCs w:val="32"/>
          <w:lang w:val="en-US" w:eastAsia="zh-CN" w:bidi="ar"/>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mNjg2M2JiYTIyOTg1OWI5MDIyODQyZDBjMWQ3NTMifQ=="/>
  </w:docVars>
  <w:rsids>
    <w:rsidRoot w:val="00000000"/>
    <w:rsid w:val="123F4757"/>
    <w:rsid w:val="18963ABD"/>
    <w:rsid w:val="28ED28C6"/>
    <w:rsid w:val="2B075F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left"/>
    </w:pPr>
    <w:rPr>
      <w:rFonts w:asciiTheme="minorHAnsi" w:hAnsiTheme="minorHAnsi" w:eastAsiaTheme="minorEastAsia" w:cstheme="minorBidi"/>
      <w:kern w:val="0"/>
      <w:sz w:val="24"/>
      <w:szCs w:val="24"/>
      <w:lang w:val="en-US" w:eastAsia="zh-CN" w:bidi="ar"/>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webp"/><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10</TotalTime>
  <ScaleCrop>false</ScaleCrop>
  <LinksUpToDate>false</LinksUpToDate>
  <CharactersWithSpaces>0</CharactersWithSpaces>
  <Application>WPS Office_12.1.0.18543_F1E327BC-269C-435d-A152-05C5408002CA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2024-12-02T06:46:30Z</dcterms:created>
  <dc:creator>Administrator</dc:creator>
  <cp:lastModifiedBy>云水月晞</cp:lastModifiedBy>
  <dcterms:modified xsi:type="dcterms:W3CDTF">2024-12-02T06:57:20Z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2052-12.1.0.18543</vt:lpwstr>
  </property>
  <property fmtid="{D5CDD505-2E9C-101B-9397-08002B2CF9AE}" pid="3" name="ICV">
    <vt:lpwstr>D1090AB12C774882A2A58A2301C64D27_12</vt:lpwstr>
  </property>
</Properties>
</file>