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1E90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孟和嘎查嘎查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简介</w:t>
      </w:r>
    </w:p>
    <w:p w14:paraId="0E2A84F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宋体"/>
          <w:color w:val="000000" w:themeColor="text1"/>
          <w:sz w:val="32"/>
          <w:szCs w:val="3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 xml:space="preserve"> </w:t>
      </w:r>
      <w:r>
        <w:rPr>
          <w:rFonts w:ascii="仿宋_GB2312" w:hAnsi="仿宋_GB2312"/>
          <w:i w:val="0"/>
          <w:iCs w:val="0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孟和嘎查位于大</w:t>
      </w:r>
      <w:r>
        <w:rPr>
          <w:rFonts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沁他拉镇以东北20公里处，辖3个村民小组，共240户，总人口7</w:t>
      </w:r>
      <w:r>
        <w:rPr>
          <w:rFonts w:hint="eastAsia" w:ascii="仿宋_GB2312" w:hAnsi="仿宋_GB2312"/>
          <w:color w:val="000000" w:themeColor="text1"/>
          <w:sz w:val="32"/>
          <w:szCs w:val="3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66</w:t>
      </w:r>
      <w:r>
        <w:rPr>
          <w:rFonts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人，党员35名，两委班子成员共</w:t>
      </w:r>
      <w:r>
        <w:rPr>
          <w:rFonts w:hint="eastAsia" w:ascii="仿宋_GB2312" w:hAnsi="仿宋_GB2312"/>
          <w:color w:val="000000" w:themeColor="text1"/>
          <w:sz w:val="32"/>
          <w:szCs w:val="3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4</w:t>
      </w:r>
      <w:r>
        <w:rPr>
          <w:rFonts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人，支委</w:t>
      </w:r>
      <w:r>
        <w:rPr>
          <w:rFonts w:hint="eastAsia" w:ascii="仿宋_GB2312" w:hAnsi="仿宋_GB2312"/>
          <w:color w:val="000000" w:themeColor="text1"/>
          <w:sz w:val="32"/>
          <w:szCs w:val="3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3</w:t>
      </w:r>
      <w:r>
        <w:rPr>
          <w:rFonts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人，村委</w:t>
      </w:r>
      <w:r>
        <w:rPr>
          <w:rFonts w:hint="eastAsia" w:ascii="仿宋_GB2312" w:hAnsi="仿宋_GB2312"/>
          <w:color w:val="000000" w:themeColor="text1"/>
          <w:sz w:val="32"/>
          <w:szCs w:val="3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4</w:t>
      </w:r>
      <w:r>
        <w:rPr>
          <w:rFonts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人。低保户</w:t>
      </w:r>
      <w:r>
        <w:rPr>
          <w:rFonts w:hint="eastAsia" w:ascii="仿宋_GB2312" w:hAnsi="仿宋_GB2312"/>
          <w:color w:val="000000" w:themeColor="text1"/>
          <w:sz w:val="32"/>
          <w:szCs w:val="3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22</w:t>
      </w:r>
      <w:r>
        <w:rPr>
          <w:rFonts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户</w:t>
      </w:r>
      <w:r>
        <w:rPr>
          <w:rFonts w:hint="eastAsia" w:ascii="仿宋_GB2312" w:hAnsi="仿宋_GB2312"/>
          <w:color w:val="000000" w:themeColor="text1"/>
          <w:sz w:val="32"/>
          <w:szCs w:val="3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44</w:t>
      </w:r>
      <w:r>
        <w:rPr>
          <w:rFonts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人，五保户</w:t>
      </w:r>
      <w:r>
        <w:rPr>
          <w:rFonts w:hint="eastAsia" w:ascii="仿宋_GB2312" w:hAnsi="仿宋_GB2312"/>
          <w:color w:val="000000" w:themeColor="text1"/>
          <w:sz w:val="32"/>
          <w:szCs w:val="3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3</w:t>
      </w:r>
      <w:r>
        <w:rPr>
          <w:rFonts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户</w:t>
      </w:r>
      <w:r>
        <w:rPr>
          <w:rFonts w:hint="eastAsia" w:ascii="仿宋_GB2312" w:hAnsi="仿宋_GB2312"/>
          <w:color w:val="000000" w:themeColor="text1"/>
          <w:sz w:val="32"/>
          <w:szCs w:val="3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3</w:t>
      </w:r>
      <w:r>
        <w:rPr>
          <w:rFonts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人，建档立卡</w:t>
      </w:r>
      <w:r>
        <w:rPr>
          <w:rFonts w:hint="eastAsia" w:ascii="仿宋_GB2312" w:hAnsi="仿宋_GB2312"/>
          <w:color w:val="000000" w:themeColor="text1"/>
          <w:sz w:val="32"/>
          <w:szCs w:val="3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脱</w:t>
      </w:r>
      <w:r>
        <w:rPr>
          <w:rFonts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贫困</w:t>
      </w:r>
      <w:r>
        <w:rPr>
          <w:rFonts w:hint="eastAsia" w:ascii="仿宋_GB2312" w:hAnsi="仿宋_GB2312"/>
          <w:color w:val="000000" w:themeColor="text1"/>
          <w:sz w:val="32"/>
          <w:szCs w:val="3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15</w:t>
      </w:r>
      <w:r>
        <w:rPr>
          <w:rFonts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户</w:t>
      </w:r>
      <w:r>
        <w:rPr>
          <w:rFonts w:hint="eastAsia" w:ascii="仿宋_GB2312" w:hAnsi="仿宋_GB2312"/>
          <w:color w:val="000000" w:themeColor="text1"/>
          <w:sz w:val="32"/>
          <w:szCs w:val="3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35</w:t>
      </w:r>
      <w:r>
        <w:rPr>
          <w:rFonts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人，全村总土地面积9.6</w:t>
      </w:r>
      <w:r>
        <w:rPr>
          <w:rFonts w:hint="eastAsia"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万</w:t>
      </w:r>
      <w:r>
        <w:rPr>
          <w:rFonts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亩，其中耕地5000亩，林地3000亩，水浇地4800亩，草牧场73000亩。主要收入来源养殖业</w:t>
      </w:r>
      <w:r>
        <w:rPr>
          <w:rFonts w:hint="eastAsia"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为主</w:t>
      </w:r>
      <w:r>
        <w:rPr>
          <w:rFonts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种殖业</w:t>
      </w:r>
      <w:r>
        <w:rPr>
          <w:rFonts w:hint="eastAsia"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为辅</w:t>
      </w:r>
      <w:r>
        <w:rPr>
          <w:rFonts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；养殖业以养牛、养羊为主，其中牛存栏</w:t>
      </w:r>
      <w:r>
        <w:rPr>
          <w:rFonts w:hint="eastAsia" w:ascii="仿宋_GB2312" w:hAnsi="仿宋_GB2312"/>
          <w:color w:val="000000" w:themeColor="text1"/>
          <w:sz w:val="32"/>
          <w:szCs w:val="3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5000</w:t>
      </w:r>
      <w:r>
        <w:rPr>
          <w:rFonts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头、羊存栏</w:t>
      </w:r>
      <w:r>
        <w:rPr>
          <w:rFonts w:hint="eastAsia" w:ascii="仿宋_GB2312" w:hAnsi="仿宋_GB2312"/>
          <w:color w:val="000000" w:themeColor="text1"/>
          <w:sz w:val="32"/>
          <w:szCs w:val="3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3500只，</w:t>
      </w:r>
      <w:r>
        <w:rPr>
          <w:rFonts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种植业以玉米为主，玉米种植面积4000亩</w:t>
      </w:r>
      <w:r>
        <w:rPr>
          <w:rFonts w:hint="eastAsia" w:ascii="仿宋_GB2312" w:hAnsi="仿宋_GB2312"/>
          <w:color w:val="000000" w:themeColor="text1"/>
          <w:sz w:val="32"/>
          <w:szCs w:val="3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.</w:t>
      </w:r>
    </w:p>
    <w:p w14:paraId="0C9CD3D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6"/>
          <w:szCs w:val="36"/>
          <w:shd w:val="clear" w:color="auto" w:fill="auto"/>
        </w:rPr>
      </w:pPr>
      <w:r>
        <w:rPr>
          <w:rFonts w:hint="eastAsia"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我村</w:t>
      </w:r>
      <w:r>
        <w:rPr>
          <w:rFonts w:ascii="仿宋_GB2312" w:hAnsi="仿宋_GB2312"/>
          <w:color w:val="000000" w:themeColor="text1"/>
          <w:sz w:val="32"/>
          <w:szCs w:val="32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将以发展壮大村集体经济为目标，</w:t>
      </w:r>
      <w:r>
        <w:rPr>
          <w:rFonts w:hint="eastAsia" w:ascii="宋体" w:hAnsi="宋体"/>
          <w:color w:val="000000" w:themeColor="text1"/>
          <w:sz w:val="30"/>
          <w:szCs w:val="3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利用我村土地资源丰富的优势，多种青储，扩大发展养殖业，重点发展养牛养羊产业。发动养殖大户带头成立养牛养羊入股合作社，降低养殖成本，实现效</w:t>
      </w:r>
      <w:r>
        <w:rPr>
          <w:rFonts w:hint="eastAsia" w:ascii="宋体" w:hAnsi="宋体"/>
          <w:color w:val="000000" w:themeColor="text1"/>
          <w:sz w:val="28"/>
          <w:szCs w:val="28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益最大化。</w:t>
      </w:r>
    </w:p>
    <w:p w14:paraId="5D00B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:shd w:val="clear" w:color="auto" w:fill="auto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shd w:val="clear" w:color="auto" w:fill="auto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【乡村治理有效】</w:t>
      </w:r>
    </w:p>
    <w:p w14:paraId="63B5E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1" w:firstLineChars="1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shd w:val="clear" w:color="auto" w:fill="auto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一是发挥基层党组织核心政治功能。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shd w:val="clear" w:color="auto" w:fill="auto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以增强嘎查村党组织政治功能和组织功能为目标，积极推进基层党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建规范化建设，高标准打造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220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平方米的党群服务中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心，为村民各项事务办理提供了一站式服务阵地。选优配强嘎查村“两委”班子，完善村民自治组织制度，为乡村振兴提供坚实的组织基础。</w:t>
      </w:r>
    </w:p>
    <w:p w14:paraId="07932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二是激活基层群众、社会组织团体活力。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通过志愿服务、结对共建等方式，调度党员干部、基层群众干事创业、奋发向上的积极性，以多种多样、丰富多彩的各类活动充实基层群众的日常生活，发挥基层组织凝聚群众功能。</w:t>
      </w:r>
    </w:p>
    <w:p w14:paraId="7DEFE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【促进文化振兴】</w:t>
      </w:r>
    </w:p>
    <w:p w14:paraId="1056C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一是强化政策理论宣传普及。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村两委班子以微信推送、领导干部讲党课以及云课堂等多种形式，持续开展党的创新理论宣传教育进农村活动。围绕宣传贯彻党的二十大精神，组织常态化开展理论宣传宣讲活动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，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持续教育引导农民群众筑牢理想信念，坚定信心，听党话、感党恩、跟党走。</w:t>
      </w:r>
    </w:p>
    <w:p w14:paraId="44503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是强化文化基础设施、丰富群众文化生活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。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文委积极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组织文体活动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，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结合活动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宣讲党的政策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法规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，开展移风易俗互动，激发群众内生动力等多种功效。</w:t>
      </w:r>
    </w:p>
    <w:p w14:paraId="22E7F045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【中心工作开展】</w:t>
      </w:r>
    </w:p>
    <w:p w14:paraId="2B8D3900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1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.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乡村振兴：在脱贫攻坚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与乡村振兴有效衔接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过程中，带头入户走访，与村内“三类人员”和村内困难户进行交流，了解他们的生活困难，及时掌握情况。</w:t>
      </w:r>
    </w:p>
    <w:p w14:paraId="53869D84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2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.安全生产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：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组织网格员每季度入户排查一次安全隐患，包括消防、食品、燃气等，同时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村两委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不定期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对村里超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市、卫生所等重点场所进行监督排查，并建立排查台账，未发现安全隐患。</w:t>
      </w:r>
    </w:p>
    <w:p w14:paraId="63307B93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3.医疗保险参保:2024年孟和嘎查嘎查养老保险参保率达到95%，合作医疗参保率达到95%。</w:t>
      </w:r>
    </w:p>
    <w:p w14:paraId="409B0CC3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4.人居环境卫生整治：孟和嘎查嘎查环境卫生整治工作实行“门前三包”机制，并采取“党员+网格员”包街巷，两委成员包片区，推进环境卫生整治工作持续向好。</w:t>
      </w:r>
    </w:p>
    <w:p w14:paraId="45E29083">
      <w:pPr>
        <w:pStyle w:val="9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5.信访工作：由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网格员负责本网格内所有户数的矛盾纠纷排查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工作，每月排查1次，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排查出矛盾首先由网格员调解，调解不了的报村两委解决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，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努力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做到“小事不出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村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，大事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也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不出村”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。</w:t>
      </w:r>
    </w:p>
    <w:p w14:paraId="229D1541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6.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三务公开工作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：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村内成立村民监督委员会，重大事务执行“四议两公开”程序，做到阳光村务，群众监督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，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利用三务公开平台和线下公开栏相结合的方式，对村内党务、村务、财务进行公开。</w:t>
      </w:r>
    </w:p>
    <w:p w14:paraId="4C389EC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ZWFmZTkyNjNlM2Y2NjEzMGNjZDIyYzU5Yzg0ZDIifQ=="/>
  </w:docVars>
  <w:rsids>
    <w:rsidRoot w:val="00000000"/>
    <w:rsid w:val="00F10401"/>
    <w:rsid w:val="28A23518"/>
    <w:rsid w:val="2AB61621"/>
    <w:rsid w:val="2FF7153D"/>
    <w:rsid w:val="31C86D49"/>
    <w:rsid w:val="427E03F3"/>
    <w:rsid w:val="446B677A"/>
    <w:rsid w:val="506D40AB"/>
    <w:rsid w:val="50DC1A0F"/>
    <w:rsid w:val="5BE40543"/>
    <w:rsid w:val="6A7E1332"/>
    <w:rsid w:val="6B1F0C71"/>
    <w:rsid w:val="75DC0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Arial"/>
      <w:sz w:val="18"/>
      <w:szCs w:val="18"/>
    </w:rPr>
  </w:style>
  <w:style w:type="paragraph" w:customStyle="1" w:styleId="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1180</Words>
  <Characters>1233</Characters>
  <Lines>19</Lines>
  <Paragraphs>5</Paragraphs>
  <TotalTime>11</TotalTime>
  <ScaleCrop>false</ScaleCrop>
  <LinksUpToDate>false</LinksUpToDate>
  <CharactersWithSpaces>1250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2021-12-05T17:27:00Z</dcterms:created>
  <dc:creator>Administrator</dc:creator>
  <cp:lastModifiedBy>Lenovo</cp:lastModifiedBy>
  <cp:lastPrinted>2024-01-05T02:13:00Z</cp:lastPrinted>
  <dcterms:modified xsi:type="dcterms:W3CDTF">2024-12-25T04:51:51Z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E5A6E68C7DFA46FD88461C5E5C1A929F_13</vt:lpwstr>
  </property>
</Properties>
</file>