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B5E6A7">
      <w:pPr>
        <w:autoSpaceDE w:val="0"/>
        <w:spacing w:line="640" w:lineRule="exact"/>
        <w:jc w:val="center"/>
        <w:rPr>
          <w:rFonts w:ascii="方正小标宋简体" w:eastAsia="方正小标宋简体"/>
          <w:b/>
          <w:bCs/>
          <w:color w:val="FF0000"/>
          <w:sz w:val="56"/>
          <w:szCs w:val="56"/>
        </w:rPr>
      </w:pPr>
      <w:r>
        <w:rPr>
          <w:rFonts w:hint="eastAsia" w:ascii="方正小标宋简体" w:eastAsia="方正小标宋简体"/>
          <w:b/>
          <w:bCs/>
          <w:color w:val="FF0000"/>
          <w:sz w:val="56"/>
          <w:szCs w:val="56"/>
        </w:rPr>
        <w:t>奈曼旗鼠疫防控应急领导小组文件</w:t>
      </w:r>
    </w:p>
    <w:p w14:paraId="4D9DD034">
      <w:pPr>
        <w:autoSpaceDE w:val="0"/>
        <w:spacing w:line="560" w:lineRule="exact"/>
        <w:rPr>
          <w:rFonts w:hint="eastAsia" w:ascii="方正小标宋简体" w:eastAsia="方正小标宋简体"/>
          <w:b/>
          <w:bCs/>
          <w:color w:val="FF0000"/>
          <w:sz w:val="56"/>
          <w:szCs w:val="56"/>
          <w:u w:val="single"/>
        </w:rPr>
      </w:pPr>
    </w:p>
    <w:p w14:paraId="4930262B">
      <w:pPr>
        <w:pStyle w:val="9"/>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316" w:firstLineChars="100"/>
        <w:jc w:val="center"/>
        <w:textAlignment w:val="auto"/>
        <w:rPr>
          <w:rFonts w:hint="eastAsia" w:ascii="仿宋_GB2312" w:hAnsi="仿宋_GB2312" w:eastAsia="仿宋_GB2312" w:cs="仿宋_GB2312"/>
          <w:b w:val="0"/>
          <w:bCs w:val="0"/>
          <w:i w:val="0"/>
          <w:caps w:val="0"/>
          <w:color w:val="545454"/>
          <w:spacing w:val="0"/>
          <w:sz w:val="32"/>
          <w:szCs w:val="32"/>
          <w:lang w:val="en-US" w:eastAsia="zh-CN"/>
        </w:rPr>
      </w:pPr>
    </w:p>
    <w:p w14:paraId="37009E63">
      <w:pPr>
        <w:pStyle w:val="9"/>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316" w:firstLineChars="100"/>
        <w:jc w:val="center"/>
        <w:textAlignment w:val="auto"/>
        <w:rPr>
          <w:rFonts w:hint="eastAsia" w:ascii="仿宋_GB2312" w:hAnsi="仿宋_GB2312" w:eastAsia="仿宋_GB2312" w:cs="仿宋_GB2312"/>
          <w:b w:val="0"/>
          <w:bCs w:val="0"/>
          <w:i w:val="0"/>
          <w:caps w:val="0"/>
          <w:color w:val="545454"/>
          <w:spacing w:val="0"/>
          <w:sz w:val="32"/>
          <w:szCs w:val="32"/>
          <w:lang w:val="en-US" w:eastAsia="zh-CN"/>
        </w:rPr>
      </w:pPr>
    </w:p>
    <w:p w14:paraId="5E2C7EA1">
      <w:pPr>
        <w:pStyle w:val="9"/>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316" w:firstLineChars="100"/>
        <w:jc w:val="center"/>
        <w:textAlignment w:val="auto"/>
        <w:rPr>
          <w:rFonts w:hint="eastAsia" w:ascii="仿宋_GB2312" w:hAnsi="仿宋_GB2312" w:eastAsia="仿宋_GB2312" w:cs="仿宋_GB2312"/>
          <w:b w:val="0"/>
          <w:bCs w:val="0"/>
          <w:i w:val="0"/>
          <w:caps w:val="0"/>
          <w:color w:val="545454"/>
          <w:spacing w:val="0"/>
          <w:sz w:val="32"/>
          <w:szCs w:val="32"/>
          <w:lang w:val="en-US" w:eastAsia="zh-CN"/>
        </w:rPr>
      </w:pPr>
      <w:r>
        <w:rPr>
          <w:rFonts w:hint="eastAsia" w:ascii="仿宋_GB2312" w:hAnsi="仿宋_GB2312" w:eastAsia="仿宋_GB2312" w:cs="仿宋_GB2312"/>
          <w:b w:val="0"/>
          <w:bCs w:val="0"/>
          <w:i w:val="0"/>
          <w:caps w:val="0"/>
          <w:color w:val="545454"/>
          <w:spacing w:val="0"/>
          <w:sz w:val="32"/>
          <w:szCs w:val="32"/>
          <w:lang w:val="en-US" w:eastAsia="zh-CN"/>
        </w:rPr>
        <w:t>奈鼠防应急发〔2024〕3号</w:t>
      </w:r>
    </w:p>
    <w:p w14:paraId="73FB2DDB">
      <w:pPr>
        <w:autoSpaceDE w:val="0"/>
        <w:spacing w:line="560" w:lineRule="exact"/>
        <w:rPr>
          <w:rFonts w:hint="eastAsia" w:ascii="方正小标宋简体" w:eastAsia="方正小标宋简体"/>
          <w:b/>
          <w:bCs/>
          <w:color w:val="FF0000"/>
          <w:sz w:val="56"/>
          <w:szCs w:val="56"/>
          <w:u w:val="single"/>
        </w:rPr>
      </w:pPr>
      <w:r>
        <w:rPr>
          <w:rFonts w:hint="eastAsia" w:ascii="方正小标宋简体" w:eastAsia="方正小标宋简体"/>
          <w:b/>
          <w:bCs/>
          <w:color w:val="FF0000"/>
          <w:sz w:val="56"/>
          <w:szCs w:val="56"/>
          <w:u w:val="single"/>
        </w:rPr>
        <w:t xml:space="preserve">                                </w:t>
      </w:r>
    </w:p>
    <w:p w14:paraId="7E8EEFEA">
      <w:pPr>
        <w:pStyle w:val="15"/>
        <w:keepNext w:val="0"/>
        <w:keepLines w:val="0"/>
        <w:pageBreakBefore w:val="0"/>
        <w:kinsoku/>
        <w:wordWrap/>
        <w:overflowPunct/>
        <w:topLinePunct w:val="0"/>
        <w:autoSpaceDE/>
        <w:autoSpaceDN/>
        <w:bidi w:val="0"/>
        <w:adjustRightInd/>
        <w:snapToGrid/>
        <w:spacing w:line="560" w:lineRule="exact"/>
        <w:ind w:firstLine="0" w:firstLineChars="0"/>
        <w:jc w:val="center"/>
        <w:textAlignment w:val="baseline"/>
        <w:rPr>
          <w:rFonts w:ascii="方正小标宋简体" w:eastAsia="方正小标宋简体" w:cs="方正小标宋简体"/>
          <w:sz w:val="40"/>
          <w:szCs w:val="40"/>
          <w:lang w:val="en-US" w:eastAsia="zh-CN"/>
        </w:rPr>
      </w:pPr>
    </w:p>
    <w:p w14:paraId="67F45248">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i w:val="0"/>
          <w:caps w:val="0"/>
          <w:color w:val="000000"/>
          <w:spacing w:val="0"/>
          <w:w w:val="100"/>
          <w:sz w:val="44"/>
          <w:szCs w:val="44"/>
          <w:lang w:eastAsia="zh-CN"/>
        </w:rPr>
      </w:pPr>
      <w:r>
        <w:rPr>
          <w:rFonts w:hint="eastAsia" w:ascii="方正小标宋简体" w:hAnsi="方正小标宋简体" w:eastAsia="方正小标宋简体" w:cs="方正小标宋简体"/>
          <w:b w:val="0"/>
          <w:bCs w:val="0"/>
          <w:color w:val="000000"/>
          <w:kern w:val="0"/>
          <w:sz w:val="44"/>
          <w:szCs w:val="44"/>
          <w:highlight w:val="none"/>
          <w:lang w:val="en-US" w:eastAsia="zh-CN" w:bidi="ar"/>
        </w:rPr>
        <w:t>关于印发</w:t>
      </w:r>
      <w:r>
        <w:rPr>
          <w:rFonts w:hint="eastAsia" w:ascii="方正小标宋简体" w:hAnsi="方正小标宋简体" w:eastAsia="方正小标宋简体" w:cs="方正小标宋简体"/>
          <w:b w:val="0"/>
          <w:bCs w:val="0"/>
          <w:i w:val="0"/>
          <w:caps w:val="0"/>
          <w:color w:val="000000"/>
          <w:spacing w:val="0"/>
          <w:w w:val="100"/>
          <w:sz w:val="44"/>
          <w:szCs w:val="44"/>
          <w:lang w:val="en-US" w:eastAsia="zh-CN"/>
        </w:rPr>
        <w:t>2024年</w:t>
      </w:r>
      <w:r>
        <w:rPr>
          <w:rFonts w:hint="eastAsia" w:ascii="方正小标宋简体" w:hAnsi="方正小标宋简体" w:eastAsia="方正小标宋简体" w:cs="方正小标宋简体"/>
          <w:b w:val="0"/>
          <w:bCs w:val="0"/>
          <w:i w:val="0"/>
          <w:caps w:val="0"/>
          <w:color w:val="000000"/>
          <w:spacing w:val="0"/>
          <w:w w:val="100"/>
          <w:sz w:val="44"/>
          <w:szCs w:val="44"/>
          <w:lang w:eastAsia="zh-CN"/>
        </w:rPr>
        <w:t>奈曼旗秋季鼠疫</w:t>
      </w:r>
    </w:p>
    <w:p w14:paraId="29E5CCB8">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color w:val="000000"/>
          <w:kern w:val="0"/>
          <w:sz w:val="44"/>
          <w:szCs w:val="44"/>
          <w:highlight w:val="none"/>
          <w:lang w:val="en-US" w:eastAsia="zh-CN" w:bidi="ar"/>
        </w:rPr>
      </w:pPr>
      <w:r>
        <w:rPr>
          <w:rFonts w:hint="eastAsia" w:ascii="方正小标宋简体" w:hAnsi="方正小标宋简体" w:eastAsia="方正小标宋简体" w:cs="方正小标宋简体"/>
          <w:b w:val="0"/>
          <w:bCs w:val="0"/>
          <w:i w:val="0"/>
          <w:caps w:val="0"/>
          <w:color w:val="000000"/>
          <w:spacing w:val="0"/>
          <w:w w:val="100"/>
          <w:sz w:val="44"/>
          <w:szCs w:val="44"/>
          <w:lang w:eastAsia="zh-CN"/>
        </w:rPr>
        <w:t>联合研判会商暨风险评估会议</w:t>
      </w:r>
      <w:r>
        <w:rPr>
          <w:rFonts w:hint="eastAsia" w:ascii="方正小标宋简体" w:hAnsi="方正小标宋简体" w:eastAsia="方正小标宋简体" w:cs="方正小标宋简体"/>
          <w:b w:val="0"/>
          <w:bCs w:val="0"/>
          <w:color w:val="000000"/>
          <w:kern w:val="0"/>
          <w:sz w:val="44"/>
          <w:szCs w:val="44"/>
          <w:highlight w:val="none"/>
          <w:lang w:val="en-US" w:eastAsia="zh-CN" w:bidi="ar"/>
        </w:rPr>
        <w:t>报告的通知</w:t>
      </w:r>
    </w:p>
    <w:p w14:paraId="561880B5">
      <w:pPr>
        <w:keepNext w:val="0"/>
        <w:keepLines w:val="0"/>
        <w:pageBreakBefore w:val="0"/>
        <w:widowControl w:val="0"/>
        <w:suppressLineNumbers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b w:val="0"/>
          <w:bCs w:val="0"/>
          <w:color w:val="000000"/>
          <w:kern w:val="0"/>
          <w:sz w:val="32"/>
          <w:szCs w:val="32"/>
          <w:highlight w:val="none"/>
          <w:lang w:val="en-US" w:eastAsia="zh-CN" w:bidi="ar"/>
        </w:rPr>
      </w:pPr>
    </w:p>
    <w:p w14:paraId="345EC4D4">
      <w:pPr>
        <w:keepNext w:val="0"/>
        <w:keepLines w:val="0"/>
        <w:pageBreakBefore w:val="0"/>
        <w:widowControl w:val="0"/>
        <w:suppressLineNumbers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b w:val="0"/>
          <w:bCs w:val="0"/>
          <w:color w:val="000000"/>
          <w:kern w:val="0"/>
          <w:sz w:val="32"/>
          <w:szCs w:val="32"/>
          <w:highlight w:val="none"/>
          <w:lang w:val="en-US" w:eastAsia="zh-CN" w:bidi="ar"/>
        </w:rPr>
        <w:t>各乡镇苏木场、街道、旗</w:t>
      </w:r>
      <w:r>
        <w:rPr>
          <w:rFonts w:hint="eastAsia" w:ascii="仿宋_GB2312" w:hAnsi="仿宋_GB2312" w:eastAsia="仿宋_GB2312" w:cs="仿宋_GB2312"/>
          <w:color w:val="000000"/>
          <w:kern w:val="0"/>
          <w:sz w:val="32"/>
          <w:szCs w:val="32"/>
          <w:highlight w:val="none"/>
          <w:lang w:val="en-US" w:eastAsia="zh-CN" w:bidi="ar"/>
        </w:rPr>
        <w:t xml:space="preserve">鼠疫防控应急领导小组各成员单位： </w:t>
      </w:r>
    </w:p>
    <w:p w14:paraId="22F33F02">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color w:val="000000"/>
          <w:kern w:val="0"/>
          <w:sz w:val="32"/>
          <w:szCs w:val="32"/>
          <w:highlight w:val="none"/>
          <w:lang w:val="en-US" w:eastAsia="zh-CN" w:bidi="ar"/>
        </w:rPr>
        <w:t xml:space="preserve">现将2024年奈曼旗秋季鼠疫联合研判会商暨风险评估会议报告印发给你们，请各地各单位结合实际，做好相关鼠疫防控工作。 </w:t>
      </w:r>
    </w:p>
    <w:p w14:paraId="76DF17C8">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right"/>
        <w:textAlignment w:val="auto"/>
        <w:rPr>
          <w:rFonts w:hint="eastAsia" w:ascii="仿宋_GB2312" w:hAnsi="仿宋_GB2312" w:eastAsia="仿宋_GB2312" w:cs="仿宋_GB2312"/>
          <w:color w:val="000000"/>
          <w:kern w:val="0"/>
          <w:sz w:val="32"/>
          <w:szCs w:val="32"/>
          <w:highlight w:val="none"/>
          <w:lang w:val="en-US" w:eastAsia="zh-CN" w:bidi="ar"/>
        </w:rPr>
      </w:pPr>
    </w:p>
    <w:p w14:paraId="144E9F59">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right"/>
        <w:textAlignment w:val="auto"/>
        <w:rPr>
          <w:rFonts w:hint="eastAsia" w:ascii="仿宋_GB2312" w:hAnsi="仿宋_GB2312" w:eastAsia="仿宋_GB2312" w:cs="仿宋_GB2312"/>
          <w:color w:val="000000"/>
          <w:kern w:val="0"/>
          <w:sz w:val="32"/>
          <w:szCs w:val="32"/>
          <w:highlight w:val="none"/>
          <w:lang w:val="en-US" w:eastAsia="zh-CN" w:bidi="ar"/>
        </w:rPr>
      </w:pPr>
    </w:p>
    <w:p w14:paraId="42234129">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right"/>
        <w:textAlignment w:val="auto"/>
        <w:rPr>
          <w:rFonts w:hint="eastAsia" w:ascii="仿宋_GB2312" w:hAnsi="仿宋_GB2312" w:eastAsia="仿宋_GB2312" w:cs="仿宋_GB2312"/>
          <w:color w:val="000000"/>
          <w:kern w:val="0"/>
          <w:sz w:val="32"/>
          <w:szCs w:val="32"/>
          <w:highlight w:val="none"/>
          <w:lang w:val="en-US" w:eastAsia="zh-CN" w:bidi="ar"/>
        </w:rPr>
      </w:pPr>
    </w:p>
    <w:p w14:paraId="25CAE719">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right"/>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color w:val="000000"/>
          <w:kern w:val="0"/>
          <w:sz w:val="32"/>
          <w:szCs w:val="32"/>
          <w:highlight w:val="none"/>
          <w:lang w:val="en-US" w:eastAsia="zh-CN" w:bidi="ar"/>
        </w:rPr>
        <w:t xml:space="preserve">奈曼旗鼠疫防控应急领导小组 </w:t>
      </w:r>
    </w:p>
    <w:p w14:paraId="1A11AC52">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color w:val="000000"/>
          <w:kern w:val="0"/>
          <w:sz w:val="32"/>
          <w:szCs w:val="32"/>
          <w:highlight w:val="none"/>
          <w:lang w:val="en-US" w:eastAsia="zh-CN" w:bidi="ar"/>
        </w:rPr>
        <w:t xml:space="preserve">                              2024年9月30日</w:t>
      </w:r>
    </w:p>
    <w:p w14:paraId="3610B71B">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eastAsia" w:ascii="仿宋" w:hAnsi="仿宋" w:eastAsia="仿宋" w:cs="仿宋"/>
          <w:b/>
          <w:bCs/>
          <w:color w:val="000000"/>
          <w:kern w:val="0"/>
          <w:sz w:val="32"/>
          <w:szCs w:val="32"/>
          <w:highlight w:val="none"/>
          <w:lang w:val="en-US" w:eastAsia="zh-CN" w:bidi="ar"/>
        </w:rPr>
      </w:pPr>
    </w:p>
    <w:p w14:paraId="0076C08F">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eastAsia" w:ascii="仿宋" w:hAnsi="仿宋" w:eastAsia="仿宋" w:cs="仿宋"/>
          <w:b/>
          <w:bCs/>
          <w:color w:val="000000"/>
          <w:kern w:val="0"/>
          <w:sz w:val="32"/>
          <w:szCs w:val="32"/>
          <w:highlight w:val="none"/>
          <w:lang w:val="en-US" w:eastAsia="zh-CN" w:bidi="ar"/>
        </w:rPr>
      </w:pPr>
    </w:p>
    <w:p w14:paraId="13A583BD">
      <w:pPr>
        <w:keepNext w:val="0"/>
        <w:keepLines w:val="0"/>
        <w:pageBreakBefore w:val="0"/>
        <w:widowControl w:val="0"/>
        <w:suppressLineNumbers w:val="0"/>
        <w:kinsoku/>
        <w:wordWrap/>
        <w:overflowPunct/>
        <w:topLinePunct w:val="0"/>
        <w:autoSpaceDE/>
        <w:autoSpaceDN/>
        <w:bidi w:val="0"/>
        <w:adjustRightInd/>
        <w:snapToGrid/>
        <w:spacing w:line="560" w:lineRule="exact"/>
        <w:jc w:val="both"/>
        <w:textAlignment w:val="auto"/>
        <w:rPr>
          <w:rFonts w:hint="eastAsia" w:ascii="仿宋" w:hAnsi="仿宋" w:eastAsia="仿宋" w:cs="仿宋"/>
          <w:b/>
          <w:bCs/>
          <w:color w:val="000000"/>
          <w:kern w:val="0"/>
          <w:sz w:val="32"/>
          <w:szCs w:val="32"/>
          <w:highlight w:val="none"/>
          <w:lang w:val="en-US" w:eastAsia="zh-CN" w:bidi="ar"/>
        </w:rPr>
      </w:pPr>
    </w:p>
    <w:p w14:paraId="549F7CE6">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color w:val="000000"/>
          <w:kern w:val="0"/>
          <w:sz w:val="44"/>
          <w:szCs w:val="44"/>
          <w:highlight w:val="none"/>
          <w:lang w:val="en-US" w:eastAsia="zh-CN" w:bidi="ar"/>
        </w:rPr>
      </w:pPr>
      <w:r>
        <w:rPr>
          <w:rFonts w:hint="eastAsia" w:ascii="方正小标宋简体" w:hAnsi="方正小标宋简体" w:eastAsia="方正小标宋简体" w:cs="方正小标宋简体"/>
          <w:b w:val="0"/>
          <w:bCs w:val="0"/>
          <w:color w:val="000000"/>
          <w:kern w:val="0"/>
          <w:sz w:val="44"/>
          <w:szCs w:val="44"/>
          <w:highlight w:val="none"/>
          <w:lang w:val="en-US" w:eastAsia="zh-CN" w:bidi="ar"/>
        </w:rPr>
        <w:t>2024年奈曼旗秋季鼠疫</w:t>
      </w:r>
    </w:p>
    <w:p w14:paraId="3AD7B3FD">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color w:val="000000"/>
          <w:kern w:val="0"/>
          <w:sz w:val="44"/>
          <w:szCs w:val="44"/>
          <w:highlight w:val="none"/>
          <w:lang w:val="en-US" w:eastAsia="zh-CN" w:bidi="ar"/>
        </w:rPr>
      </w:pPr>
      <w:r>
        <w:rPr>
          <w:rFonts w:hint="eastAsia" w:ascii="方正小标宋简体" w:hAnsi="方正小标宋简体" w:eastAsia="方正小标宋简体" w:cs="方正小标宋简体"/>
          <w:b w:val="0"/>
          <w:bCs w:val="0"/>
          <w:color w:val="000000"/>
          <w:kern w:val="0"/>
          <w:sz w:val="44"/>
          <w:szCs w:val="44"/>
          <w:highlight w:val="none"/>
          <w:lang w:val="en-US" w:eastAsia="zh-CN" w:bidi="ar"/>
        </w:rPr>
        <w:t>联合研判会商暨风险评估会议报告</w:t>
      </w:r>
    </w:p>
    <w:p w14:paraId="0E4AD019">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color w:val="000000"/>
          <w:kern w:val="0"/>
          <w:sz w:val="32"/>
          <w:szCs w:val="32"/>
          <w:highlight w:val="none"/>
          <w:lang w:val="en-US" w:eastAsia="zh-CN" w:bidi="ar"/>
        </w:rPr>
      </w:pPr>
    </w:p>
    <w:p w14:paraId="085CE6D8">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color w:val="000000"/>
          <w:kern w:val="0"/>
          <w:sz w:val="32"/>
          <w:szCs w:val="32"/>
          <w:highlight w:val="none"/>
          <w:lang w:val="en-US" w:eastAsia="zh-CN" w:bidi="ar"/>
        </w:rPr>
        <w:t>为科学分析我旗鼠疫防控整体工作，及时发现鼠疫流行潜在风险，提出合理防控工作建议。9月29日，旗鼠疫防控应急领导小组组织召开2024年奈曼旗秋季鼠疫联合研判会商暨风险评估会议。会议通报了</w:t>
      </w:r>
      <w:r>
        <w:rPr>
          <w:rFonts w:hint="eastAsia" w:ascii="仿宋_GB2312" w:hAnsi="仿宋_GB2312" w:eastAsia="仿宋_GB2312" w:cs="仿宋_GB2312"/>
          <w:sz w:val="32"/>
          <w:szCs w:val="32"/>
          <w:lang w:val="en-US" w:eastAsia="zh-CN"/>
        </w:rPr>
        <w:t>2024年第三季度奈曼旗动物鼠疫监测情况</w:t>
      </w:r>
      <w:r>
        <w:rPr>
          <w:rFonts w:hint="eastAsia" w:ascii="仿宋_GB2312" w:hAnsi="仿宋_GB2312" w:eastAsia="仿宋_GB2312" w:cs="仿宋_GB2312"/>
          <w:color w:val="000000"/>
          <w:kern w:val="0"/>
          <w:sz w:val="32"/>
          <w:szCs w:val="32"/>
          <w:highlight w:val="none"/>
          <w:lang w:val="en-US" w:eastAsia="zh-CN" w:bidi="ar"/>
        </w:rPr>
        <w:t xml:space="preserve">，分析了鼠疫疫情形势，并对下一步重点工作提出了建议。具体研判结果如下： </w:t>
      </w:r>
    </w:p>
    <w:p w14:paraId="1C9F3424">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黑体" w:hAnsi="黑体" w:eastAsia="黑体" w:cs="黑体"/>
          <w:color w:val="000000"/>
          <w:kern w:val="0"/>
          <w:sz w:val="32"/>
          <w:szCs w:val="32"/>
          <w:highlight w:val="none"/>
          <w:lang w:val="en-US" w:eastAsia="zh-CN" w:bidi="ar"/>
        </w:rPr>
      </w:pPr>
      <w:r>
        <w:rPr>
          <w:rFonts w:hint="eastAsia" w:ascii="黑体" w:hAnsi="黑体" w:eastAsia="黑体" w:cs="黑体"/>
          <w:color w:val="000000"/>
          <w:kern w:val="0"/>
          <w:sz w:val="32"/>
          <w:szCs w:val="32"/>
          <w:highlight w:val="none"/>
          <w:lang w:val="en-US" w:eastAsia="zh-CN" w:bidi="ar"/>
        </w:rPr>
        <w:t>一、会议背景</w:t>
      </w:r>
    </w:p>
    <w:p w14:paraId="384B5E7D">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政府领导、齐抓共管是鼠疫防控的核心原则。近几年，在奈曼旗党委、政府的统筹领导下，奈曼旗卫生健康委、农牧局、林草局及直属各防控责任单位主要承担了鼠疫防控联合研判会商工作任务。</w:t>
      </w:r>
    </w:p>
    <w:p w14:paraId="2E66DDA4">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黑体" w:hAnsi="黑体" w:eastAsia="黑体" w:cs="黑体"/>
          <w:sz w:val="32"/>
          <w:szCs w:val="32"/>
          <w:highlight w:val="none"/>
        </w:rPr>
      </w:pPr>
      <w:r>
        <w:rPr>
          <w:rFonts w:hint="eastAsia" w:ascii="黑体" w:hAnsi="黑体" w:eastAsia="黑体" w:cs="黑体"/>
          <w:color w:val="000000"/>
          <w:kern w:val="0"/>
          <w:sz w:val="32"/>
          <w:szCs w:val="32"/>
          <w:highlight w:val="none"/>
          <w:lang w:val="en-US" w:eastAsia="zh-CN" w:bidi="ar"/>
        </w:rPr>
        <w:t xml:space="preserve">二、2024年第三季度各联合研判单位工作数据 </w:t>
      </w:r>
    </w:p>
    <w:p w14:paraId="2F323FCC">
      <w:pPr>
        <w:keepNext w:val="0"/>
        <w:keepLines w:val="0"/>
        <w:widowControl/>
        <w:numPr>
          <w:ilvl w:val="0"/>
          <w:numId w:val="0"/>
        </w:numPr>
        <w:suppressLineNumbers w:val="0"/>
        <w:ind w:firstLine="632" w:firstLineChars="200"/>
        <w:jc w:val="left"/>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color w:val="000000"/>
          <w:kern w:val="0"/>
          <w:sz w:val="32"/>
          <w:szCs w:val="32"/>
          <w:lang w:val="en-US" w:eastAsia="zh-CN" w:bidi="ar"/>
        </w:rPr>
        <w:t>奈曼旗疾病预防控制中心：</w:t>
      </w:r>
      <w:r>
        <w:rPr>
          <w:rFonts w:hint="eastAsia" w:ascii="仿宋_GB2312" w:hAnsi="仿宋_GB2312" w:eastAsia="仿宋_GB2312" w:cs="仿宋_GB2312"/>
          <w:b w:val="0"/>
          <w:bCs w:val="0"/>
          <w:color w:val="000000"/>
          <w:kern w:val="0"/>
          <w:sz w:val="32"/>
          <w:szCs w:val="32"/>
          <w:lang w:val="en-US" w:eastAsia="zh-CN" w:bidi="ar"/>
        </w:rPr>
        <w:t>根据与比邻旗县市区建立联防联控机制，协同做好监测预警，协查协防，消息互通。奈曼旗比邻旗县赤峰市敖汉旗、翁牛特旗自2002年至今未发现人间、鼠间鼠疫疫情；通辽市开鲁县、库伦旗未发现人间、鼠间鼠疫疫情。</w:t>
      </w:r>
      <w:r>
        <w:rPr>
          <w:rFonts w:hint="eastAsia" w:ascii="仿宋_GB2312" w:hAnsi="仿宋_GB2312" w:eastAsia="仿宋_GB2312" w:cs="仿宋_GB2312"/>
          <w:b/>
          <w:bCs/>
          <w:color w:val="000000"/>
          <w:kern w:val="0"/>
          <w:sz w:val="32"/>
          <w:szCs w:val="32"/>
          <w:lang w:val="en-US" w:eastAsia="zh-CN" w:bidi="ar"/>
        </w:rPr>
        <w:t>人间鼠疫疫情</w:t>
      </w:r>
      <w:r>
        <w:rPr>
          <w:rFonts w:hint="eastAsia" w:ascii="仿宋_GB2312" w:hAnsi="仿宋_GB2312" w:eastAsia="仿宋_GB2312" w:cs="仿宋_GB2312"/>
          <w:b w:val="0"/>
          <w:bCs w:val="0"/>
          <w:color w:val="000000"/>
          <w:kern w:val="0"/>
          <w:sz w:val="32"/>
          <w:szCs w:val="32"/>
          <w:lang w:val="en-US" w:eastAsia="zh-CN" w:bidi="ar"/>
        </w:rPr>
        <w:t>：2024年1月至今，全区在锡林郭勒盟发生1起人间鼠疫疫情；（未接到相关详细通报，关于鼠疫病例鼠疫类型具体信息不详）</w:t>
      </w:r>
      <w:r>
        <w:rPr>
          <w:rFonts w:hint="eastAsia" w:ascii="仿宋_GB2312" w:hAnsi="仿宋_GB2312" w:eastAsia="仿宋_GB2312" w:cs="仿宋_GB2312"/>
          <w:b/>
          <w:bCs/>
          <w:color w:val="000000"/>
          <w:kern w:val="0"/>
          <w:sz w:val="32"/>
          <w:szCs w:val="32"/>
          <w:lang w:val="en-US" w:eastAsia="zh-CN" w:bidi="ar"/>
        </w:rPr>
        <w:t>动物间疫情</w:t>
      </w:r>
      <w:r>
        <w:rPr>
          <w:rFonts w:hint="eastAsia" w:ascii="仿宋_GB2312" w:hAnsi="仿宋_GB2312" w:eastAsia="仿宋_GB2312" w:cs="仿宋_GB2312"/>
          <w:b w:val="0"/>
          <w:bCs w:val="0"/>
          <w:color w:val="000000"/>
          <w:kern w:val="0"/>
          <w:sz w:val="32"/>
          <w:szCs w:val="32"/>
          <w:lang w:val="en-US" w:eastAsia="zh-CN" w:bidi="ar"/>
        </w:rPr>
        <w:t>：全区在2个盟市（鄂尔多斯市、乌兰察布市）2个旗县（杭锦旗、四子王旗）发生动物鼠间疫情；</w:t>
      </w:r>
      <w:r>
        <w:rPr>
          <w:rFonts w:hint="eastAsia" w:ascii="仿宋_GB2312" w:hAnsi="仿宋_GB2312" w:eastAsia="仿宋_GB2312" w:cs="仿宋_GB2312"/>
          <w:b/>
          <w:bCs/>
          <w:color w:val="000000"/>
          <w:kern w:val="0"/>
          <w:sz w:val="32"/>
          <w:szCs w:val="32"/>
          <w:lang w:val="en-US" w:eastAsia="zh-CN" w:bidi="ar"/>
        </w:rPr>
        <w:t>2024年奈曼旗鼠间鼠疫疫情监测工作：</w:t>
      </w:r>
      <w:r>
        <w:rPr>
          <w:rFonts w:hint="eastAsia" w:ascii="仿宋_GB2312" w:hAnsi="仿宋_GB2312" w:eastAsia="仿宋_GB2312" w:cs="仿宋_GB2312"/>
          <w:color w:val="000000"/>
          <w:sz w:val="32"/>
          <w:szCs w:val="32"/>
        </w:rPr>
        <w:t>奈曼旗动物鼠疫监测工作从202</w:t>
      </w:r>
      <w:r>
        <w:rPr>
          <w:rFonts w:hint="eastAsia" w:ascii="仿宋_GB2312" w:hAnsi="仿宋_GB2312" w:eastAsia="仿宋_GB2312" w:cs="仿宋_GB2312"/>
          <w:color w:val="000000"/>
          <w:sz w:val="32"/>
          <w:szCs w:val="32"/>
          <w:lang w:val="en-US" w:eastAsia="zh-CN"/>
        </w:rPr>
        <w:t>4</w:t>
      </w:r>
      <w:r>
        <w:rPr>
          <w:rFonts w:hint="eastAsia" w:ascii="仿宋_GB2312" w:hAnsi="仿宋_GB2312" w:eastAsia="仿宋_GB2312" w:cs="仿宋_GB2312"/>
          <w:color w:val="000000"/>
          <w:sz w:val="32"/>
          <w:szCs w:val="32"/>
        </w:rPr>
        <w:t>年4月1日开始</w:t>
      </w:r>
      <w:r>
        <w:rPr>
          <w:rFonts w:hint="eastAsia" w:ascii="仿宋_GB2312" w:hAnsi="仿宋_GB2312" w:eastAsia="仿宋_GB2312" w:cs="仿宋_GB2312"/>
          <w:color w:val="000000"/>
          <w:sz w:val="32"/>
          <w:szCs w:val="32"/>
          <w:lang w:val="en-US" w:eastAsia="zh-CN"/>
        </w:rPr>
        <w:t>至今</w:t>
      </w:r>
      <w:r>
        <w:rPr>
          <w:rFonts w:hint="eastAsia" w:ascii="仿宋_GB2312" w:hAnsi="仿宋_GB2312" w:eastAsia="仿宋_GB2312" w:cs="仿宋_GB2312"/>
          <w:color w:val="000000"/>
          <w:sz w:val="32"/>
          <w:szCs w:val="32"/>
        </w:rPr>
        <w:t>，总监测面积为7500公顷，疫源检索面积为2500公顷。黄鼠密度调查</w:t>
      </w:r>
      <w:r>
        <w:rPr>
          <w:rFonts w:hint="eastAsia" w:ascii="仿宋_GB2312" w:hAnsi="仿宋_GB2312" w:eastAsia="仿宋_GB2312" w:cs="仿宋_GB2312"/>
          <w:color w:val="000000"/>
          <w:sz w:val="32"/>
          <w:szCs w:val="32"/>
          <w:lang w:val="en-US" w:eastAsia="zh-CN"/>
        </w:rPr>
        <w:t>打样方78个，获鼠18只</w:t>
      </w:r>
      <w:r>
        <w:rPr>
          <w:rFonts w:hint="eastAsia" w:ascii="仿宋_GB2312" w:hAnsi="仿宋_GB2312" w:eastAsia="仿宋_GB2312" w:cs="仿宋_GB2312"/>
          <w:color w:val="000000"/>
          <w:sz w:val="32"/>
          <w:szCs w:val="32"/>
        </w:rPr>
        <w:t>，平均鼠密度</w:t>
      </w:r>
      <w:r>
        <w:rPr>
          <w:rFonts w:hint="eastAsia" w:ascii="仿宋_GB2312" w:hAnsi="仿宋_GB2312" w:eastAsia="仿宋_GB2312" w:cs="仿宋_GB2312"/>
          <w:color w:val="000000"/>
          <w:sz w:val="32"/>
          <w:szCs w:val="32"/>
          <w:lang w:val="en-US" w:eastAsia="zh-CN"/>
        </w:rPr>
        <w:t>0.23</w:t>
      </w:r>
      <w:r>
        <w:rPr>
          <w:rFonts w:hint="eastAsia" w:ascii="仿宋_GB2312" w:hAnsi="仿宋_GB2312" w:eastAsia="仿宋_GB2312" w:cs="仿宋_GB2312"/>
          <w:color w:val="000000"/>
          <w:sz w:val="32"/>
          <w:szCs w:val="32"/>
        </w:rPr>
        <w:t>只/公顷。鼠疫细菌学检验：共剖验鼠类</w:t>
      </w:r>
      <w:r>
        <w:rPr>
          <w:rFonts w:hint="eastAsia" w:ascii="仿宋_GB2312" w:hAnsi="仿宋_GB2312" w:eastAsia="仿宋_GB2312" w:cs="仿宋_GB2312"/>
          <w:color w:val="000000"/>
          <w:sz w:val="32"/>
          <w:szCs w:val="32"/>
          <w:lang w:val="en-US" w:eastAsia="zh-CN"/>
        </w:rPr>
        <w:t>227</w:t>
      </w:r>
      <w:r>
        <w:rPr>
          <w:rFonts w:hint="eastAsia" w:ascii="仿宋_GB2312" w:hAnsi="仿宋_GB2312" w:eastAsia="仿宋_GB2312" w:cs="仿宋_GB2312"/>
          <w:color w:val="000000"/>
          <w:sz w:val="32"/>
          <w:szCs w:val="32"/>
        </w:rPr>
        <w:t>只，</w:t>
      </w:r>
      <w:r>
        <w:rPr>
          <w:rFonts w:hint="eastAsia" w:ascii="仿宋_GB2312" w:hAnsi="仿宋_GB2312" w:eastAsia="仿宋_GB2312" w:cs="仿宋_GB2312"/>
          <w:color w:val="000000"/>
          <w:sz w:val="32"/>
          <w:szCs w:val="32"/>
          <w:lang w:val="en-US" w:eastAsia="zh-CN"/>
        </w:rPr>
        <w:t>达乌尔黄鼠217只，灰仓鼠10只，</w:t>
      </w:r>
      <w:r>
        <w:rPr>
          <w:rFonts w:hint="eastAsia" w:ascii="仿宋_GB2312" w:hAnsi="仿宋_GB2312" w:eastAsia="仿宋_GB2312" w:cs="仿宋_GB2312"/>
          <w:color w:val="000000"/>
          <w:sz w:val="32"/>
          <w:szCs w:val="32"/>
        </w:rPr>
        <w:t>结果全部阴性。媒介蚤类检验</w:t>
      </w:r>
      <w:r>
        <w:rPr>
          <w:rFonts w:hint="eastAsia" w:ascii="仿宋_GB2312" w:hAnsi="仿宋_GB2312" w:eastAsia="仿宋_GB2312" w:cs="仿宋_GB2312"/>
          <w:color w:val="000000"/>
          <w:sz w:val="32"/>
          <w:szCs w:val="32"/>
          <w:lang w:val="en-US" w:eastAsia="zh-CN"/>
        </w:rPr>
        <w:t>52</w:t>
      </w:r>
      <w:r>
        <w:rPr>
          <w:rFonts w:hint="eastAsia" w:ascii="仿宋_GB2312" w:hAnsi="仿宋_GB2312" w:eastAsia="仿宋_GB2312" w:cs="仿宋_GB2312"/>
          <w:color w:val="000000"/>
          <w:sz w:val="32"/>
          <w:szCs w:val="32"/>
        </w:rPr>
        <w:t>组</w:t>
      </w:r>
      <w:r>
        <w:rPr>
          <w:rFonts w:hint="eastAsia" w:ascii="仿宋_GB2312" w:hAnsi="仿宋_GB2312" w:eastAsia="仿宋_GB2312" w:cs="仿宋_GB2312"/>
          <w:color w:val="000000"/>
          <w:sz w:val="32"/>
          <w:szCs w:val="32"/>
          <w:lang w:val="en-US" w:eastAsia="zh-CN"/>
        </w:rPr>
        <w:t>113</w:t>
      </w:r>
      <w:r>
        <w:rPr>
          <w:rFonts w:hint="eastAsia" w:ascii="仿宋_GB2312" w:hAnsi="仿宋_GB2312" w:eastAsia="仿宋_GB2312" w:cs="仿宋_GB2312"/>
          <w:color w:val="000000"/>
          <w:sz w:val="32"/>
          <w:szCs w:val="32"/>
        </w:rPr>
        <w:t>匹，结果全部阴性。鼠疫血清学检验：共检验鼠类</w:t>
      </w:r>
      <w:r>
        <w:rPr>
          <w:rFonts w:hint="eastAsia" w:ascii="仿宋_GB2312" w:hAnsi="仿宋_GB2312" w:eastAsia="仿宋_GB2312" w:cs="仿宋_GB2312"/>
          <w:color w:val="000000"/>
          <w:sz w:val="32"/>
          <w:szCs w:val="32"/>
          <w:lang w:val="en-US" w:eastAsia="zh-CN"/>
        </w:rPr>
        <w:t>217</w:t>
      </w:r>
      <w:r>
        <w:rPr>
          <w:rFonts w:hint="eastAsia" w:ascii="仿宋_GB2312" w:hAnsi="仿宋_GB2312" w:eastAsia="仿宋_GB2312" w:cs="仿宋_GB2312"/>
          <w:color w:val="000000"/>
          <w:sz w:val="32"/>
          <w:szCs w:val="32"/>
        </w:rPr>
        <w:t>只，核酸检测2</w:t>
      </w:r>
      <w:r>
        <w:rPr>
          <w:rFonts w:hint="eastAsia" w:ascii="仿宋_GB2312" w:hAnsi="仿宋_GB2312" w:eastAsia="仿宋_GB2312" w:cs="仿宋_GB2312"/>
          <w:color w:val="000000"/>
          <w:sz w:val="32"/>
          <w:szCs w:val="32"/>
          <w:lang w:val="en-US" w:eastAsia="zh-CN"/>
        </w:rPr>
        <w:t>5</w:t>
      </w:r>
      <w:r>
        <w:rPr>
          <w:rFonts w:hint="eastAsia" w:ascii="仿宋_GB2312" w:hAnsi="仿宋_GB2312" w:eastAsia="仿宋_GB2312" w:cs="仿宋_GB2312"/>
          <w:color w:val="000000"/>
          <w:sz w:val="32"/>
          <w:szCs w:val="32"/>
        </w:rPr>
        <w:t>只达乌尔黄鼠，结果均阴性。</w:t>
      </w:r>
    </w:p>
    <w:p w14:paraId="67042EE7">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2.林草局：</w:t>
      </w:r>
      <w:r>
        <w:rPr>
          <w:rFonts w:hint="eastAsia" w:ascii="仿宋_GB2312" w:hAnsi="仿宋_GB2312" w:eastAsia="仿宋_GB2312" w:cs="仿宋_GB2312"/>
          <w:sz w:val="32"/>
          <w:szCs w:val="32"/>
          <w:lang w:val="en-US" w:eastAsia="zh-CN"/>
        </w:rPr>
        <w:t>林草局通过强化领导，细化分工，对全旗15个苏木镇场的天然草原进行了实地踏查，根据踏查结果确定防治区域，并有针对性的制定了实施方案，顺利完成了2024年鼠害调查与防治工作，有效的控制了我旗鼠害危害面积，圆满完成了本年度的鼠害防治工作。一、鼠害调查情况（一）发生概况：2024年4月10日至5月10日，结合预警体系对全旗草原鼠害发生进行了实地踏查，根据踏查结果确定危害面积6万亩，涉及固日班花苏木1个苏木镇。（二）害鼠种类和密度：危害我旗草原的主要害鼠种类为长爪沙鼠和达乌尔黄鼠，长爪沙鼠平均密度有效洞口数为330洞/公顷，最高密度有效洞口数为420洞/公顷；达乌尔黄鼠平均密度有效洞口数为36洞/公顷，最高密度有效洞口数为61洞/公顷。二、采取的措施（一）加强监测，发动群众做好鼠害预测预报工作：为了更好的对草原鼠害发生发展情况进行预测及防治，启用鼠虫害监测系统，并指定专人，实行周报制，将鼠害发生及防治情况上报市草原工作站。发动各嘎查村的草原管护员，定期上报鼠害信息，并派出专业技术人员对鼠害高发地区进行严密监测，根据多次的监测结果制定科学的鼠害防治方案，使监测、灭鼠工作更具科学性；（二）大力开展鼠害防控宣传：5月10日，通辽市草原工作站牵头，联合奈曼旗林草局、固日班花苏木党委政府，率领相关技术人员，利用固日班花苏木集市时间，组织开展了“加强林草生物灾害防控，助力推动美丽中国建设”的宣传活动。通过设立宣传牌、悬挂横幅、现场解答、发放宣传资料等形式向群众大力宣传鼠害防控相关法规和鼠害生物种类及防控知识，通过边讲解、边示范、边操作的方式现场与当地群众进行交流和操作，回答群众提出的相关问题，深受当地群众的欢迎。本次活动共发放宣传手册200余份，捕鼠夹100余个，捕鼠药50包，带有防治知识的礼品300余份。通过此次宣传活动，进一步提高了奈曼旗农牧民对草原鼠害防治工作重要性的认识；（三）全程督导检查和技术指导：为使防治效果最大化，在每个灭鼠作业地点都派1-2名技术人员，全程跟踪检查和技术指导，做到不漏防，有效提高了鼠害防治效果。并在现场指导农牧民掌握害鼠种类、生活习性和防治技术，使广大农民积极参与到鼠害防治工作中来；（四）立警示牌，保证人畜安全：灭鼠作业主要采取机械投饵的方式，为防止畜禽进入灭鼠区域误食中毒，在每个灭鼠地块都设立了警示牌，要求在灭鼠区域，严禁放牧，避免给农牧民造成损失，同时保证人畜安全；（五）开展草原鼠害联防联控工作：按照常态协作、资源共享、齐抓共管、区域联动的原则，进一步探索建立库伦旗与奈曼旗联防联控、防扑一体的新工作机制，形成跨区域的草原鼠害防控合力。5月17日，由我旗林业和草原局牵头，联合库伦旗自然资源局、茫汗苏木人民政府、玛尼图嘎查，我旗固日班花苏木人民政府、东毛瑞嘎查等相关单位，在东毛瑞嘎查与玛尼图嘎查交界处，组织开展了草原鼠害联防联控工作，通辽市草原工作站对此项工作进行了跟踪业务指导。三、鼠害防治情况 ：本着“预防为主，综合防治”原则，于5月中下旬对草原鼠害严重发生区域陆续展开了灭鼠工作，通过全体职工的共同努力，我旗鼠害防治工作全部结束。全旗共防治鼠害面积6万亩，主要采取机械投饵方式，组织投入人力劳力80人次，技术人员41人次，投入大型防治器械3台，出动车辆60辆次，投放灭鼠毒饵7.5吨。防治后长爪沙鼠平均密度有效洞口数为26洞/公顷，达乌尔黄鼠平均密度有效洞口数为3洞/公顷，防治效果达到90%以上，有效的遏制了我旗草原鼠害的扩散蔓延。</w:t>
      </w:r>
    </w:p>
    <w:p w14:paraId="66A64FFC">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3.</w:t>
      </w:r>
      <w:r>
        <w:rPr>
          <w:rFonts w:hint="eastAsia" w:ascii="仿宋_GB2312" w:hAnsi="仿宋_GB2312" w:eastAsia="仿宋_GB2312" w:cs="仿宋_GB2312"/>
          <w:b/>
          <w:bCs/>
          <w:sz w:val="32"/>
          <w:szCs w:val="32"/>
          <w:lang w:val="en-US" w:eastAsia="zh-CN"/>
        </w:rPr>
        <w:t>爱国卫生服务中心：一是</w:t>
      </w:r>
      <w:r>
        <w:rPr>
          <w:rFonts w:hint="eastAsia" w:ascii="仿宋_GB2312" w:hAnsi="仿宋_GB2312" w:eastAsia="仿宋_GB2312" w:cs="仿宋_GB2312"/>
          <w:sz w:val="32"/>
          <w:szCs w:val="32"/>
          <w:lang w:val="en-US" w:eastAsia="zh-CN"/>
        </w:rPr>
        <w:t>积极开展夏秋季爱国卫生活动，印发了2024年夏秋季爱国卫生运动活动方案，通过政府主导、群众参与的方式，动员各地各部门开展辖区环境卫生整治行动，组织各嘎查村（社区）委对辖区卫生死角、垃圾箱等重点区域进行清理。截至目前，全旗共出动机械车辆500余次，参与人数达7000人，清理垃圾2500余吨。</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结合各地工作实际，积极动员各地对辖区广场、学校附近、车站、市场等公共场所进行病媒生物消杀作业。并对辖区毒饵站和重点区域增补鼠药和消杀药品，减少了蚊蝇密度和鼠害密度，取得了良好的病媒生物防制效果。共补充投放鼠药500公斤。</w:t>
      </w: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sz w:val="32"/>
          <w:szCs w:val="32"/>
          <w:lang w:val="en-US" w:eastAsia="zh-CN"/>
        </w:rPr>
        <w:t>通过各类健康主题日宣传活动，向辖区居民普及夏秋季卫生健康知识，引导辖区居民群众重视自身健康，预防夏秋季易发生的各类传染病，树立群众做好自己是健康的第一责任人观念，不断提升群众自我保护意识和卫生防病能力。截止目前，共组织宣传活动20余场次，发放预防鼠疫宣传单5000余份。</w:t>
      </w:r>
    </w:p>
    <w:p w14:paraId="50E03F05">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4.农牧和科技局：一是</w:t>
      </w:r>
      <w:r>
        <w:rPr>
          <w:rFonts w:hint="eastAsia" w:ascii="仿宋_GB2312" w:hAnsi="仿宋_GB2312" w:eastAsia="仿宋_GB2312" w:cs="仿宋_GB2312"/>
          <w:sz w:val="32"/>
          <w:szCs w:val="32"/>
          <w:lang w:val="en-US" w:eastAsia="zh-CN"/>
        </w:rPr>
        <w:t>深入开展消毒面源工作：结合我旗重大动物疫病春秋集中免疫时期间，坚持“预防为主，预防与控制、净化、消灭相结合”原则，树立新发展理念，保障全旗畜牧业高质量健康发展，对养殖场户的畜舍及重点区域开展灭鼠、灭蚤工及消毒面源工作。</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强化宣传引导，提升防控意识：通过与旗卫健委、旗疾控中心、旗疫控中心开展联防联控发放宣传材料、消杀物品、悬挂条幅、开展讲座等多种途径和方式，加强鼠疫防控知识宣传教育，有效提高公众防治意识和能力，使鼠疫“可防、可控、可治”的家喻户晓、人人皆知。</w:t>
      </w: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sz w:val="32"/>
          <w:szCs w:val="32"/>
          <w:lang w:val="en-US" w:eastAsia="zh-CN"/>
        </w:rPr>
        <w:t>压实动物监管工作：切实做好病死动物和病害动物产品无害化处理工作。任何单位和个人不得买卖、加工、随意弃置病死动物和病害动物产品，降低鼠密度，确保无疫病发生。</w:t>
      </w:r>
    </w:p>
    <w:p w14:paraId="4AFE8F1C">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5.公安局：</w:t>
      </w:r>
      <w:r>
        <w:rPr>
          <w:rFonts w:hint="eastAsia" w:ascii="仿宋_GB2312" w:hAnsi="仿宋_GB2312" w:eastAsia="仿宋_GB2312" w:cs="仿宋_GB2312"/>
          <w:sz w:val="32"/>
          <w:szCs w:val="32"/>
          <w:lang w:val="en-US" w:eastAsia="zh-CN"/>
        </w:rPr>
        <w:t>公安局召开会议向各个部门传达鼠疫工作具体部署、鼠疫这工作的重要性，全力配合卫建委完成我旗鼠疫防御工作，公安机关认真负责打击处理任何涉疫违法线索，积极接收处理相关线索。</w:t>
      </w:r>
    </w:p>
    <w:p w14:paraId="7B7A2337">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6.文化和旅游局：</w:t>
      </w:r>
      <w:r>
        <w:rPr>
          <w:rFonts w:hint="eastAsia" w:ascii="仿宋_GB2312" w:hAnsi="仿宋_GB2312" w:eastAsia="仿宋_GB2312" w:cs="仿宋_GB2312"/>
          <w:sz w:val="32"/>
          <w:szCs w:val="32"/>
          <w:lang w:val="en-US" w:eastAsia="zh-CN"/>
        </w:rPr>
        <w:t>为应对旅游旺季鼠疫传播风险上升，奈曼旗文化和旅游局积极开展景区景点鼠疫防范工作，着力组织灭鼠工作、提升游客个人防护意识，降低景区鼠疫传播风险：</w:t>
      </w: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强化鼠疫源头治理，组织灭鼠工作，将灭鼠药免费提供给A级旅游景区、乡村旅游点、图书馆等场所，严格按照灭鼠操作规范，定时、定点、按需投放鼠药，实时观察鼠类数量，确保鼠类数量始终处于可控范围。</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提升旅游从业人员鼠疫防控技能，引导各景区，特别是草原旅游景区加强鼠疫防治，组织学习培训，强化从业人员鼠疫防范意识。</w:t>
      </w: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sz w:val="32"/>
          <w:szCs w:val="32"/>
          <w:lang w:val="en-US" w:eastAsia="zh-CN"/>
        </w:rPr>
        <w:t>加强防疫宣传，通过景区向游客免费提供鼠疫防范宣传手册，广泛宣传鼠疫的危害、预防、治疗等基本常识，提升游客对鼠疫危险性的认识和防范手段。2024年我旗旅游景区、乡村旅游点、公共文化场所等未发生鼠疫疫情。</w:t>
      </w:r>
    </w:p>
    <w:p w14:paraId="4C780817">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7.交通运输局：一是</w:t>
      </w:r>
      <w:r>
        <w:rPr>
          <w:rFonts w:hint="eastAsia" w:ascii="仿宋_GB2312" w:hAnsi="仿宋_GB2312" w:eastAsia="仿宋_GB2312" w:cs="仿宋_GB2312"/>
          <w:sz w:val="32"/>
          <w:szCs w:val="32"/>
          <w:lang w:val="en-US" w:eastAsia="zh-CN"/>
        </w:rPr>
        <w:t>道班在沿线道路，桥涵，边坡抛洒鼠药。</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道路运输企业，客运公司和公交公司领取鼠药和宣传单并按照要求播撒。</w:t>
      </w:r>
    </w:p>
    <w:p w14:paraId="6A01815A">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8.奈曼旗人民医院：</w:t>
      </w:r>
      <w:r>
        <w:rPr>
          <w:rFonts w:hint="eastAsia" w:ascii="仿宋_GB2312" w:hAnsi="仿宋_GB2312" w:eastAsia="仿宋_GB2312" w:cs="仿宋_GB2312"/>
          <w:sz w:val="32"/>
          <w:szCs w:val="32"/>
          <w:lang w:val="en-US" w:eastAsia="zh-CN"/>
        </w:rPr>
        <w:t>一、预检分诊持续实行日间值班值班制、发热门诊实行24小时值班制，对发热患者有效的进行截流和排查工作；二、我院分别以集中培训、科室自行培训、门诊大厅健康宣教讲解等方式进行了鼠疫相关知识的培训考核工作；三、定期对门诊、急诊、发热门诊医生进行鼠疫相关知识提问考核，所提问考核人员均对所提问问题掌握较熟练。四、我院在门诊候诊大厅、住院病区护士站等公共区域发放鼠疫防控宣传单进行鼠疫宣传教育工作，并且每月定期对高危人群进行相关知识讲解及健康教育工作。</w:t>
      </w:r>
    </w:p>
    <w:p w14:paraId="3B4A642E">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lang w:val="en-US" w:eastAsia="zh-CN"/>
        </w:rPr>
      </w:pPr>
      <w:r>
        <w:rPr>
          <w:rFonts w:hint="eastAsia" w:ascii="仿宋_GB2312" w:hAnsi="仿宋_GB2312" w:eastAsia="仿宋_GB2312" w:cs="仿宋_GB2312"/>
          <w:b/>
          <w:bCs/>
          <w:sz w:val="32"/>
          <w:szCs w:val="32"/>
          <w:lang w:val="en-US" w:eastAsia="zh-CN"/>
        </w:rPr>
        <w:t>9.市场监督管理局：</w:t>
      </w:r>
      <w:r>
        <w:rPr>
          <w:rFonts w:hint="eastAsia" w:ascii="仿宋_GB2312" w:hAnsi="仿宋_GB2312" w:eastAsia="仿宋_GB2312" w:cs="仿宋_GB2312"/>
          <w:sz w:val="32"/>
          <w:szCs w:val="32"/>
          <w:lang w:val="en-US" w:eastAsia="zh-CN"/>
        </w:rPr>
        <w:t>为进一步贯彻落实自治区、通辽市及奈曼旗鼠疫防控工作会议及文件精神，切实做好鼠疫防控工作，奈曼旗市场监督管理局多措并举、主动作为，严格落实上级相关防控部署要求，扎实开展了市场监管执法工作。一、加强组织领导，全面部署防疫工作：为了有效开展鼠疫工作，局党组专题召开会议传达奈曼旗鼠疫会议精神，及时调整市场监管局鼠疫防控工作领导小组，召开专题部署会议，明确各股、所职责，重点加强对集贸市场、超市及其他肉食品经营户的监督管理，严格落实索证索票、进货查验登记等制度，严厉查处无照经营和非法收购、出售和加工鼠疫宿主动物行为。安排专人负责鼠疫防控组织协调、沟通对接、汇总上报工作。二、加强监管力度，全力保障食品安全：日常工作中，执法人员深入超市、餐饮服务单位和肉制品经营主体，重点检查原辅料库房、索证索票、进货查验、销售台账制度等方面，严厉打击野生动物及其制品交易行为，告诫经营户严禁采购、加工、出售野生旱獭、野兔、野鸡等动物及其产品，严禁未经检疫或来源不明的肉类产品进入市场。同时要求完善场所内防蝇防鼠设施，定期开展消毒消杀，严抓卫生管理，集中整治经营环境卫生不合格食品经营单位，督促各商户按规定放置粘鼠板、投放鼠药，并适度消杀；三、开展专项整治，握好安全“方向盘”：为进一步有效防范化解肉类产品风险隐患，压紧压实各方责任，牢固树立底线思维，严厉打击肉类产品违法犯罪，对肉制品生产经营全链条开展专项整治，持续加压推进专项整治工作走深走实，确保广大群众吃上放心肉。旗食药安办、公安局、农科局、市场监督管理局结合辖区实际联合制发专项整治工作方案，谋划时间表、制定路线图、明确任务，以生猪、肉牛、肉羊、肉鸡及其肉类产品为重点，深挖肉类产品违法犯罪源头线索，坚决斩断非法屠宰、加工、销售链条，切实规范从业者生产经营行为，健全肉类产品质量安全长效监管机制，保障肉类产品质量安全。检查中，执法人员要求经营单位严格落实食品安全主体责任，严格把控进货源头，确保肉类及其制品来源合法合规，如发现涉嫌构成犯罪需追究刑事责任的，将依法移送公安机关。截至目前，全系统出动执法人员456人次，共检查市场主体203家，立案2起，罚没款10.12万元，发放宣传资料248份，检查中未发现有无照经营和非法收购、出售和加工鼠疫宿主动物等行为，目前此项工作正在持续开展中。三、全面宣传引导，提高群防群控意识。通过微信公众平台推送，微信群转发、深入市场主体经营户发放宣传材料、悬挂条幅等多种途径和方法，加强鼠疫防控知识宣传教育，强化正面舆论引导，有效提高公众防治意识和能力，使鼠疫“可防、可控、可治”的积极信息家喻户晓、人人皆知。</w:t>
      </w:r>
    </w:p>
    <w:p w14:paraId="16486F4C">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黑体" w:hAnsi="黑体" w:eastAsia="黑体" w:cs="黑体"/>
          <w:sz w:val="32"/>
          <w:szCs w:val="32"/>
          <w:highlight w:val="none"/>
        </w:rPr>
      </w:pPr>
      <w:r>
        <w:rPr>
          <w:rFonts w:hint="eastAsia" w:ascii="黑体" w:hAnsi="黑体" w:eastAsia="黑体" w:cs="黑体"/>
          <w:color w:val="000000"/>
          <w:kern w:val="0"/>
          <w:sz w:val="32"/>
          <w:szCs w:val="32"/>
          <w:highlight w:val="none"/>
          <w:lang w:val="en-US" w:eastAsia="zh-CN" w:bidi="ar"/>
        </w:rPr>
        <w:t xml:space="preserve">二、鼠疫疫情形式分析 </w:t>
      </w:r>
    </w:p>
    <w:p w14:paraId="7C6BCEAA">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评估结果显示，奈曼旗罕见可能发生输入性鼠间鼠疫疫情和人间鼠疫疫情，罕见可能出现本地鼠间鼠疫疫情和人间鼠疫疫情; 出现输入性鼠间鼠疫、人间鼠疫疫情的风险水平为低等风险度风险。出现本地流行鼠间鼠疫、人间鼠疫疫情的风险水平为低风险度风险。通过风险矩阵分析法、专家研判和中国疾病预防控制中心鼠疫布病预防控制基地研发的“鼠疫风险评估工具V1.0”（国家版权局软件登记号：2014SR175854）评估（附件1）综合得分0.1565891，得知奈曼旗鼠疫疫情发生风险为</w:t>
      </w:r>
      <w:r>
        <w:rPr>
          <w:rFonts w:hint="eastAsia" w:ascii="仿宋_GB2312" w:hAnsi="仿宋_GB2312" w:eastAsia="仿宋_GB2312" w:cs="仿宋_GB2312"/>
          <w:b/>
          <w:bCs/>
          <w:color w:val="000000"/>
          <w:kern w:val="0"/>
          <w:sz w:val="32"/>
          <w:szCs w:val="32"/>
          <w:lang w:val="en-US" w:eastAsia="zh-CN" w:bidi="ar"/>
        </w:rPr>
        <w:t>低风险</w:t>
      </w:r>
      <w:r>
        <w:rPr>
          <w:rFonts w:hint="eastAsia" w:ascii="仿宋_GB2312" w:hAnsi="仿宋_GB2312" w:eastAsia="仿宋_GB2312" w:cs="仿宋_GB2312"/>
          <w:color w:val="000000"/>
          <w:kern w:val="0"/>
          <w:sz w:val="32"/>
          <w:szCs w:val="32"/>
          <w:lang w:val="en-US" w:eastAsia="zh-CN" w:bidi="ar"/>
        </w:rPr>
        <w:t>。</w:t>
      </w:r>
    </w:p>
    <w:p w14:paraId="163CB0D6">
      <w:pPr>
        <w:keepNext w:val="0"/>
        <w:keepLines w:val="0"/>
        <w:pageBreakBefore w:val="0"/>
        <w:widowControl w:val="0"/>
        <w:numPr>
          <w:ilvl w:val="0"/>
          <w:numId w:val="1"/>
        </w:numPr>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黑体" w:hAnsi="黑体" w:eastAsia="黑体" w:cs="黑体"/>
          <w:color w:val="000000"/>
          <w:kern w:val="0"/>
          <w:sz w:val="32"/>
          <w:szCs w:val="32"/>
          <w:highlight w:val="none"/>
          <w:lang w:val="en-US" w:eastAsia="zh-CN" w:bidi="ar"/>
        </w:rPr>
      </w:pPr>
      <w:r>
        <w:rPr>
          <w:rFonts w:hint="eastAsia" w:ascii="黑体" w:hAnsi="黑体" w:eastAsia="黑体" w:cs="黑体"/>
          <w:color w:val="000000"/>
          <w:kern w:val="0"/>
          <w:sz w:val="32"/>
          <w:szCs w:val="32"/>
          <w:highlight w:val="none"/>
          <w:lang w:val="en-US" w:eastAsia="zh-CN" w:bidi="ar"/>
        </w:rPr>
        <w:t>下一步工作建议</w:t>
      </w:r>
    </w:p>
    <w:p w14:paraId="62064141">
      <w:pPr>
        <w:keepNext w:val="0"/>
        <w:keepLines w:val="0"/>
        <w:pageBreakBefore w:val="0"/>
        <w:widowControl w:val="0"/>
        <w:numPr>
          <w:numId w:val="0"/>
        </w:numPr>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lang w:val="en-US" w:eastAsia="zh-CN"/>
        </w:rPr>
      </w:pPr>
      <w:r>
        <w:rPr>
          <w:rFonts w:hint="eastAsia" w:ascii="楷体_GB2312" w:hAnsi="楷体_GB2312" w:eastAsia="楷体_GB2312" w:cs="楷体_GB2312"/>
          <w:b/>
          <w:bCs/>
          <w:lang w:val="en-US" w:eastAsia="zh-CN"/>
        </w:rPr>
        <w:t>（一）高度重视，落实防控责任。</w:t>
      </w:r>
      <w:r>
        <w:rPr>
          <w:rFonts w:hint="eastAsia" w:ascii="仿宋_GB2312" w:hAnsi="仿宋_GB2312" w:eastAsia="仿宋_GB2312" w:cs="仿宋_GB2312"/>
          <w:lang w:val="en-US" w:eastAsia="zh-CN"/>
        </w:rPr>
        <w:t>各地区要切实提高政治站位，加强组织领导，充分认识鼠疫防控工作的艰巨性，长期性，复杂性，全面强化和落实四方责任，认真排查风险隐患，及时堵上防控漏洞，将发生人间鼠疫的风险降到最低。</w:t>
      </w:r>
    </w:p>
    <w:p w14:paraId="62C7F2DF">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b w:val="0"/>
          <w:bCs w:val="0"/>
          <w:lang w:val="en-US" w:eastAsia="zh-CN"/>
        </w:rPr>
      </w:pPr>
      <w:r>
        <w:rPr>
          <w:rFonts w:hint="eastAsia" w:ascii="楷体_GB2312" w:hAnsi="楷体_GB2312" w:eastAsia="楷体_GB2312" w:cs="楷体_GB2312"/>
          <w:b/>
          <w:bCs/>
          <w:lang w:val="en-US" w:eastAsia="zh-CN"/>
        </w:rPr>
        <w:t>（二）加强鼠疫监测工作，及时发现动物疫情。</w:t>
      </w:r>
      <w:r>
        <w:rPr>
          <w:rFonts w:hint="eastAsia" w:ascii="仿宋_GB2312" w:hAnsi="仿宋_GB2312" w:eastAsia="仿宋_GB2312" w:cs="仿宋_GB2312"/>
          <w:b w:val="0"/>
          <w:bCs w:val="0"/>
          <w:lang w:val="en-US" w:eastAsia="zh-CN"/>
        </w:rPr>
        <w:t>鼠防人员要迅速进入工作状态，严格按照《</w:t>
      </w:r>
      <w:r>
        <w:rPr>
          <w:rFonts w:hint="eastAsia" w:ascii="仿宋_GB2312" w:hAnsi="仿宋_GB2312" w:eastAsia="仿宋_GB2312" w:cs="仿宋_GB2312"/>
          <w:b w:val="0"/>
          <w:bCs w:val="0"/>
          <w:lang w:val="en-US" w:eastAsia="zh-CN"/>
        </w:rPr>
        <w:t>全国鼠疫监测方案（2024年修订版）</w:t>
      </w:r>
      <w:r>
        <w:rPr>
          <w:rFonts w:hint="eastAsia" w:ascii="仿宋_GB2312" w:hAnsi="仿宋_GB2312" w:eastAsia="仿宋_GB2312" w:cs="仿宋_GB2312"/>
          <w:b w:val="0"/>
          <w:bCs w:val="0"/>
          <w:lang w:val="en-US" w:eastAsia="zh-CN"/>
        </w:rPr>
        <w:t>》和《</w:t>
      </w:r>
      <w:r>
        <w:rPr>
          <w:rFonts w:hint="eastAsia" w:ascii="仿宋_GB2312" w:hAnsi="仿宋_GB2312" w:eastAsia="仿宋_GB2312" w:cs="仿宋_GB2312"/>
          <w:b w:val="0"/>
          <w:bCs w:val="0"/>
          <w:lang w:val="en-US" w:eastAsia="zh-CN"/>
        </w:rPr>
        <w:t>2024年通辽市鼠疫监测技术方案</w:t>
      </w:r>
      <w:r>
        <w:rPr>
          <w:rFonts w:hint="eastAsia" w:ascii="仿宋_GB2312" w:hAnsi="仿宋_GB2312" w:eastAsia="仿宋_GB2312" w:cs="仿宋_GB2312"/>
          <w:b w:val="0"/>
          <w:bCs w:val="0"/>
          <w:lang w:val="en-US" w:eastAsia="zh-CN"/>
        </w:rPr>
        <w:t>》开展监测工作。充分发挥无人机的辅助作用，扩大监测范围，提高监测质量，对所获材料“</w:t>
      </w:r>
      <w:r>
        <w:rPr>
          <w:rFonts w:hint="eastAsia" w:ascii="仿宋_GB2312" w:hAnsi="仿宋_GB2312" w:eastAsia="仿宋_GB2312" w:cs="仿宋_GB2312"/>
          <w:b w:val="0"/>
          <w:bCs w:val="0"/>
          <w:lang w:val="en-US" w:eastAsia="zh-CN"/>
        </w:rPr>
        <w:t>应检尽检</w:t>
      </w:r>
      <w:r>
        <w:rPr>
          <w:rFonts w:hint="eastAsia" w:ascii="仿宋_GB2312" w:hAnsi="仿宋_GB2312" w:eastAsia="仿宋_GB2312" w:cs="仿宋_GB2312"/>
          <w:b w:val="0"/>
          <w:bCs w:val="0"/>
          <w:lang w:val="en-US" w:eastAsia="zh-CN"/>
        </w:rPr>
        <w:t>”，及时发现动物间鼠疫疫情，科学做出预报预警。</w:t>
      </w:r>
    </w:p>
    <w:p w14:paraId="368E75BC">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b w:val="0"/>
          <w:bCs w:val="0"/>
          <w:lang w:val="en-US" w:eastAsia="zh-CN"/>
        </w:rPr>
      </w:pPr>
      <w:r>
        <w:rPr>
          <w:rFonts w:hint="eastAsia" w:ascii="楷体_GB2312" w:hAnsi="楷体_GB2312" w:eastAsia="楷体_GB2312" w:cs="楷体_GB2312"/>
          <w:b/>
          <w:bCs/>
          <w:lang w:val="en-US" w:eastAsia="zh-CN"/>
        </w:rPr>
        <w:t>（三）强化预检分诊，严格落实首诊负责制。</w:t>
      </w:r>
      <w:r>
        <w:rPr>
          <w:rFonts w:hint="eastAsia" w:ascii="仿宋_GB2312" w:hAnsi="仿宋_GB2312" w:eastAsia="仿宋_GB2312" w:cs="仿宋_GB2312"/>
          <w:b w:val="0"/>
          <w:bCs w:val="0"/>
          <w:lang w:val="en-US" w:eastAsia="zh-CN"/>
        </w:rPr>
        <w:t>各级各类医疗机构要进一步加强和完善鼠疫防控工作措施，加强鼠疫的预检分诊、发热门诊工作，加强对预检分诊工作人员进行培训，切实做到“</w:t>
      </w:r>
      <w:r>
        <w:rPr>
          <w:rFonts w:hint="eastAsia" w:ascii="仿宋_GB2312" w:hAnsi="仿宋_GB2312" w:eastAsia="仿宋_GB2312" w:cs="仿宋_GB2312"/>
          <w:b w:val="0"/>
          <w:bCs w:val="0"/>
          <w:lang w:val="en-US" w:eastAsia="zh-CN"/>
        </w:rPr>
        <w:t>五早一就</w:t>
      </w:r>
      <w:r>
        <w:rPr>
          <w:rFonts w:hint="eastAsia" w:ascii="仿宋_GB2312" w:hAnsi="仿宋_GB2312" w:eastAsia="仿宋_GB2312" w:cs="仿宋_GB2312"/>
          <w:b w:val="0"/>
          <w:bCs w:val="0"/>
          <w:lang w:val="en-US" w:eastAsia="zh-CN"/>
        </w:rPr>
        <w:t>”。</w:t>
      </w:r>
    </w:p>
    <w:p w14:paraId="29CF03C2">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color w:val="000000"/>
          <w:kern w:val="0"/>
          <w:sz w:val="32"/>
          <w:szCs w:val="32"/>
          <w:highlight w:val="none"/>
          <w:lang w:val="en-US" w:eastAsia="zh-CN" w:bidi="ar"/>
        </w:rPr>
      </w:pPr>
      <w:r>
        <w:rPr>
          <w:rFonts w:hint="eastAsia" w:ascii="楷体_GB2312" w:hAnsi="楷体_GB2312" w:eastAsia="楷体_GB2312" w:cs="楷体_GB2312"/>
          <w:b/>
          <w:bCs/>
          <w:color w:val="000000"/>
          <w:kern w:val="0"/>
          <w:sz w:val="32"/>
          <w:szCs w:val="32"/>
          <w:highlight w:val="none"/>
          <w:lang w:val="en-US" w:eastAsia="zh-CN" w:bidi="ar"/>
        </w:rPr>
        <w:t>（四）加强重点人员管理。</w:t>
      </w:r>
      <w:r>
        <w:rPr>
          <w:rFonts w:hint="eastAsia" w:ascii="仿宋_GB2312" w:hAnsi="仿宋_GB2312" w:eastAsia="仿宋_GB2312" w:cs="仿宋_GB2312"/>
          <w:color w:val="000000"/>
          <w:kern w:val="0"/>
          <w:sz w:val="32"/>
          <w:szCs w:val="32"/>
          <w:highlight w:val="none"/>
          <w:lang w:val="en-US" w:eastAsia="zh-CN" w:bidi="ar"/>
        </w:rPr>
        <w:t>严格落实“盯住牧羊人、管住作业者”的重点人群管控策略，加强网格化管理，重点人群登记造册，疫源地在建项目要加强人员管理，项目工地负责人为鼠防第一责任人，要做好工地鼠防工作，做好工地日常灭鼠灭蚤和员工鼠防知识宣传，提高员工防控意识，最大程度降低感染风险。</w:t>
      </w:r>
    </w:p>
    <w:p w14:paraId="4BECAEEE">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color w:val="000000"/>
          <w:kern w:val="0"/>
          <w:sz w:val="32"/>
          <w:szCs w:val="32"/>
          <w:highlight w:val="none"/>
          <w:lang w:val="en-US" w:eastAsia="zh-CN" w:bidi="ar"/>
        </w:rPr>
      </w:pPr>
      <w:r>
        <w:rPr>
          <w:rFonts w:hint="eastAsia" w:ascii="楷体_GB2312" w:hAnsi="楷体_GB2312" w:eastAsia="楷体_GB2312" w:cs="楷体_GB2312"/>
          <w:b/>
          <w:bCs/>
          <w:color w:val="000000"/>
          <w:kern w:val="0"/>
          <w:sz w:val="32"/>
          <w:szCs w:val="32"/>
          <w:highlight w:val="none"/>
          <w:lang w:val="en-US" w:eastAsia="zh-CN" w:bidi="ar"/>
        </w:rPr>
        <w:t>（五）加强宣传干预。</w:t>
      </w:r>
      <w:r>
        <w:rPr>
          <w:rFonts w:hint="eastAsia" w:ascii="仿宋_GB2312" w:hAnsi="仿宋_GB2312" w:eastAsia="仿宋_GB2312" w:cs="仿宋_GB2312"/>
          <w:color w:val="000000"/>
          <w:kern w:val="0"/>
          <w:sz w:val="32"/>
          <w:szCs w:val="32"/>
          <w:highlight w:val="none"/>
          <w:lang w:val="en-US" w:eastAsia="zh-CN" w:bidi="ar"/>
        </w:rPr>
        <w:t>各地区充分利用宣传渠道，开展以“三不、三要、三护”为主的宣传教育工作。在历史疫区内，尤其是旅游热点地区设置警示标识，使疫源地内居民及从事放牧、勘探、野外施工等人员掌握鼠防的基本知识，培养良好卫生习惯。</w:t>
      </w:r>
    </w:p>
    <w:p w14:paraId="282C3547">
      <w:pPr>
        <w:keepNext w:val="0"/>
        <w:keepLines w:val="0"/>
        <w:pageBreakBefore w:val="0"/>
        <w:widowControl w:val="0"/>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color w:val="000000"/>
          <w:kern w:val="0"/>
          <w:sz w:val="32"/>
          <w:szCs w:val="32"/>
          <w:highlight w:val="none"/>
          <w:lang w:val="en-US" w:eastAsia="zh-CN" w:bidi="ar"/>
        </w:rPr>
      </w:pPr>
      <w:r>
        <w:rPr>
          <w:rFonts w:hint="eastAsia" w:ascii="楷体_GB2312" w:hAnsi="楷体_GB2312" w:eastAsia="楷体_GB2312" w:cs="楷体_GB2312"/>
          <w:b/>
          <w:bCs/>
          <w:color w:val="000000"/>
          <w:kern w:val="0"/>
          <w:sz w:val="32"/>
          <w:szCs w:val="32"/>
          <w:highlight w:val="none"/>
          <w:lang w:val="en-US" w:eastAsia="zh-CN" w:bidi="ar"/>
        </w:rPr>
        <w:t>（六）加强医务人员培训。</w:t>
      </w:r>
      <w:r>
        <w:rPr>
          <w:rFonts w:hint="eastAsia" w:ascii="仿宋_GB2312" w:hAnsi="仿宋_GB2312" w:eastAsia="仿宋_GB2312" w:cs="仿宋_GB2312"/>
          <w:color w:val="000000"/>
          <w:kern w:val="0"/>
          <w:sz w:val="32"/>
          <w:szCs w:val="32"/>
          <w:highlight w:val="none"/>
          <w:lang w:val="en-US" w:eastAsia="zh-CN" w:bidi="ar"/>
        </w:rPr>
        <w:t>各级各类医疗机构组织医务人员开展针对性的培训，重点培训《鼠疫诊断标准》、疫情报告、诊疗方案、应急处置预案等内容，全面提高医务人员的属于诊断治疗和应急处置能力。</w:t>
      </w:r>
    </w:p>
    <w:p w14:paraId="11A09843">
      <w:pPr>
        <w:keepNext w:val="0"/>
        <w:keepLines w:val="0"/>
        <w:pageBreakBefore w:val="0"/>
        <w:widowControl w:val="0"/>
        <w:suppressLineNumbers w:val="0"/>
        <w:kinsoku/>
        <w:wordWrap/>
        <w:overflowPunct/>
        <w:topLinePunct w:val="0"/>
        <w:autoSpaceDE/>
        <w:autoSpaceDN/>
        <w:bidi w:val="0"/>
        <w:adjustRightInd/>
        <w:snapToGrid/>
        <w:spacing w:line="560" w:lineRule="exact"/>
        <w:jc w:val="left"/>
        <w:textAlignment w:val="auto"/>
        <w:rPr>
          <w:rFonts w:hint="eastAsia" w:ascii="仿宋" w:hAnsi="仿宋" w:eastAsia="仿宋" w:cs="仿宋"/>
          <w:color w:val="000000"/>
          <w:kern w:val="0"/>
          <w:sz w:val="32"/>
          <w:szCs w:val="32"/>
          <w:highlight w:val="none"/>
          <w:lang w:val="en-US" w:eastAsia="zh-CN" w:bidi="ar"/>
        </w:rPr>
      </w:pPr>
    </w:p>
    <w:p w14:paraId="65C9440B">
      <w:pPr>
        <w:keepNext w:val="0"/>
        <w:keepLines w:val="0"/>
        <w:pageBreakBefore w:val="0"/>
        <w:widowControl w:val="0"/>
        <w:suppressLineNumbers w:val="0"/>
        <w:kinsoku/>
        <w:wordWrap/>
        <w:overflowPunct/>
        <w:topLinePunct w:val="0"/>
        <w:autoSpaceDE/>
        <w:autoSpaceDN/>
        <w:bidi w:val="0"/>
        <w:adjustRightInd/>
        <w:snapToGrid/>
        <w:spacing w:line="560" w:lineRule="exact"/>
        <w:jc w:val="left"/>
        <w:textAlignment w:val="auto"/>
        <w:rPr>
          <w:rFonts w:hint="eastAsia" w:ascii="仿宋" w:hAnsi="仿宋" w:eastAsia="仿宋" w:cs="仿宋"/>
          <w:color w:val="000000"/>
          <w:kern w:val="0"/>
          <w:sz w:val="32"/>
          <w:szCs w:val="32"/>
          <w:highlight w:val="none"/>
          <w:lang w:val="en-US" w:eastAsia="zh-CN" w:bidi="ar"/>
        </w:rPr>
      </w:pPr>
    </w:p>
    <w:p w14:paraId="78BE2DDA">
      <w:pPr>
        <w:keepNext w:val="0"/>
        <w:keepLines w:val="0"/>
        <w:pageBreakBefore w:val="0"/>
        <w:widowControl w:val="0"/>
        <w:suppressLineNumbers w:val="0"/>
        <w:kinsoku/>
        <w:wordWrap/>
        <w:overflowPunct/>
        <w:topLinePunct w:val="0"/>
        <w:autoSpaceDE/>
        <w:autoSpaceDN/>
        <w:bidi w:val="0"/>
        <w:adjustRightInd/>
        <w:snapToGrid/>
        <w:spacing w:line="560" w:lineRule="exact"/>
        <w:jc w:val="left"/>
        <w:textAlignment w:val="auto"/>
        <w:rPr>
          <w:rFonts w:hint="eastAsia" w:ascii="仿宋" w:hAnsi="仿宋" w:eastAsia="仿宋" w:cs="仿宋"/>
          <w:color w:val="000000"/>
          <w:kern w:val="0"/>
          <w:sz w:val="32"/>
          <w:szCs w:val="32"/>
          <w:highlight w:val="none"/>
          <w:lang w:val="en-US" w:eastAsia="zh-CN" w:bidi="ar"/>
        </w:rPr>
      </w:pPr>
    </w:p>
    <w:p w14:paraId="20630CE4">
      <w:pPr>
        <w:keepNext w:val="0"/>
        <w:keepLines w:val="0"/>
        <w:pageBreakBefore w:val="0"/>
        <w:widowControl w:val="0"/>
        <w:suppressLineNumbers w:val="0"/>
        <w:kinsoku/>
        <w:wordWrap/>
        <w:overflowPunct/>
        <w:topLinePunct w:val="0"/>
        <w:autoSpaceDE/>
        <w:autoSpaceDN/>
        <w:bidi w:val="0"/>
        <w:adjustRightInd/>
        <w:snapToGrid/>
        <w:spacing w:line="560" w:lineRule="exact"/>
        <w:jc w:val="left"/>
        <w:textAlignment w:val="auto"/>
        <w:rPr>
          <w:rFonts w:hint="eastAsia" w:ascii="仿宋" w:hAnsi="仿宋" w:eastAsia="仿宋" w:cs="仿宋"/>
          <w:color w:val="000000"/>
          <w:kern w:val="0"/>
          <w:sz w:val="32"/>
          <w:szCs w:val="32"/>
          <w:highlight w:val="none"/>
          <w:lang w:val="en-US" w:eastAsia="zh-CN" w:bidi="ar"/>
        </w:rPr>
      </w:pPr>
    </w:p>
    <w:p w14:paraId="29236848">
      <w:pPr>
        <w:keepNext w:val="0"/>
        <w:keepLines w:val="0"/>
        <w:pageBreakBefore w:val="0"/>
        <w:widowControl w:val="0"/>
        <w:suppressLineNumbers w:val="0"/>
        <w:kinsoku/>
        <w:wordWrap/>
        <w:overflowPunct/>
        <w:topLinePunct w:val="0"/>
        <w:autoSpaceDE/>
        <w:autoSpaceDN/>
        <w:bidi w:val="0"/>
        <w:adjustRightInd/>
        <w:snapToGrid/>
        <w:spacing w:line="560" w:lineRule="exact"/>
        <w:jc w:val="left"/>
        <w:textAlignment w:val="auto"/>
        <w:rPr>
          <w:rFonts w:hint="eastAsia" w:ascii="仿宋" w:hAnsi="仿宋" w:eastAsia="仿宋" w:cs="仿宋"/>
          <w:color w:val="000000"/>
          <w:kern w:val="0"/>
          <w:sz w:val="32"/>
          <w:szCs w:val="32"/>
          <w:highlight w:val="none"/>
          <w:lang w:val="en-US" w:eastAsia="zh-CN" w:bidi="ar"/>
        </w:rPr>
      </w:pPr>
    </w:p>
    <w:p w14:paraId="631B3342">
      <w:pPr>
        <w:keepNext w:val="0"/>
        <w:keepLines w:val="0"/>
        <w:pageBreakBefore w:val="0"/>
        <w:widowControl w:val="0"/>
        <w:suppressLineNumbers w:val="0"/>
        <w:kinsoku/>
        <w:wordWrap/>
        <w:overflowPunct/>
        <w:topLinePunct w:val="0"/>
        <w:autoSpaceDE/>
        <w:autoSpaceDN/>
        <w:bidi w:val="0"/>
        <w:adjustRightInd/>
        <w:snapToGrid/>
        <w:spacing w:line="560" w:lineRule="exact"/>
        <w:jc w:val="left"/>
        <w:textAlignment w:val="auto"/>
        <w:rPr>
          <w:rFonts w:hint="eastAsia" w:ascii="仿宋" w:hAnsi="仿宋" w:eastAsia="仿宋" w:cs="仿宋"/>
          <w:color w:val="000000"/>
          <w:kern w:val="0"/>
          <w:sz w:val="32"/>
          <w:szCs w:val="32"/>
          <w:highlight w:val="none"/>
          <w:lang w:val="en-US" w:eastAsia="zh-CN" w:bidi="ar"/>
        </w:rPr>
      </w:pPr>
    </w:p>
    <w:p w14:paraId="13AEE266">
      <w:pPr>
        <w:keepNext w:val="0"/>
        <w:keepLines w:val="0"/>
        <w:pageBreakBefore w:val="0"/>
        <w:widowControl w:val="0"/>
        <w:suppressLineNumbers w:val="0"/>
        <w:kinsoku/>
        <w:wordWrap/>
        <w:overflowPunct/>
        <w:topLinePunct w:val="0"/>
        <w:autoSpaceDE/>
        <w:autoSpaceDN/>
        <w:bidi w:val="0"/>
        <w:adjustRightInd/>
        <w:snapToGrid/>
        <w:spacing w:line="560" w:lineRule="exact"/>
        <w:jc w:val="left"/>
        <w:textAlignment w:val="auto"/>
        <w:rPr>
          <w:rFonts w:hint="eastAsia" w:ascii="仿宋" w:hAnsi="仿宋" w:eastAsia="仿宋" w:cs="仿宋"/>
          <w:color w:val="000000"/>
          <w:kern w:val="0"/>
          <w:sz w:val="32"/>
          <w:szCs w:val="32"/>
          <w:highlight w:val="none"/>
          <w:lang w:val="en-US" w:eastAsia="zh-CN" w:bidi="ar"/>
        </w:rPr>
      </w:pPr>
    </w:p>
    <w:p w14:paraId="18486755">
      <w:pPr>
        <w:keepNext w:val="0"/>
        <w:keepLines w:val="0"/>
        <w:pageBreakBefore w:val="0"/>
        <w:widowControl w:val="0"/>
        <w:suppressLineNumbers w:val="0"/>
        <w:kinsoku/>
        <w:wordWrap/>
        <w:overflowPunct/>
        <w:topLinePunct w:val="0"/>
        <w:autoSpaceDE/>
        <w:autoSpaceDN/>
        <w:bidi w:val="0"/>
        <w:adjustRightInd/>
        <w:snapToGrid/>
        <w:spacing w:line="560" w:lineRule="exact"/>
        <w:jc w:val="left"/>
        <w:textAlignment w:val="auto"/>
        <w:rPr>
          <w:rFonts w:hint="eastAsia" w:ascii="仿宋" w:hAnsi="仿宋" w:eastAsia="仿宋" w:cs="仿宋"/>
          <w:color w:val="000000"/>
          <w:kern w:val="0"/>
          <w:sz w:val="32"/>
          <w:szCs w:val="32"/>
          <w:highlight w:val="none"/>
          <w:lang w:val="en-US" w:eastAsia="zh-CN" w:bidi="ar"/>
        </w:rPr>
      </w:pPr>
    </w:p>
    <w:p w14:paraId="24F5CA5F">
      <w:pPr>
        <w:keepNext w:val="0"/>
        <w:keepLines w:val="0"/>
        <w:pageBreakBefore w:val="0"/>
        <w:widowControl w:val="0"/>
        <w:suppressLineNumbers w:val="0"/>
        <w:kinsoku/>
        <w:wordWrap/>
        <w:overflowPunct/>
        <w:topLinePunct w:val="0"/>
        <w:autoSpaceDE/>
        <w:autoSpaceDN/>
        <w:bidi w:val="0"/>
        <w:adjustRightInd/>
        <w:snapToGrid/>
        <w:spacing w:line="560" w:lineRule="exact"/>
        <w:jc w:val="left"/>
        <w:textAlignment w:val="auto"/>
        <w:rPr>
          <w:rFonts w:hint="eastAsia" w:ascii="仿宋" w:hAnsi="仿宋" w:eastAsia="仿宋" w:cs="仿宋"/>
          <w:color w:val="000000"/>
          <w:kern w:val="0"/>
          <w:sz w:val="32"/>
          <w:szCs w:val="32"/>
          <w:highlight w:val="none"/>
          <w:lang w:val="en-US" w:eastAsia="zh-CN" w:bidi="ar"/>
        </w:rPr>
      </w:pPr>
      <w:bookmarkStart w:id="0" w:name="_GoBack"/>
      <w:bookmarkEnd w:id="0"/>
      <w:r>
        <w:rPr>
          <w:rFonts w:hint="eastAsia" w:ascii="仿宋" w:hAnsi="仿宋" w:eastAsia="仿宋" w:cs="仿宋"/>
          <w:color w:val="000000"/>
          <w:kern w:val="0"/>
          <w:sz w:val="32"/>
          <w:szCs w:val="32"/>
          <w:highlight w:val="none"/>
          <w:lang w:val="en-US" w:eastAsia="zh-CN" w:bidi="ar"/>
        </w:rPr>
        <w:t>附件：</w:t>
      </w:r>
    </w:p>
    <w:p w14:paraId="7B4B2A93">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color w:val="000000"/>
          <w:kern w:val="0"/>
          <w:sz w:val="44"/>
          <w:szCs w:val="44"/>
          <w:highlight w:val="none"/>
          <w:lang w:val="en-US" w:eastAsia="zh-CN" w:bidi="ar"/>
        </w:rPr>
      </w:pPr>
      <w:r>
        <w:rPr>
          <w:rFonts w:hint="eastAsia" w:ascii="方正小标宋简体" w:hAnsi="方正小标宋简体" w:eastAsia="方正小标宋简体" w:cs="方正小标宋简体"/>
          <w:b w:val="0"/>
          <w:bCs w:val="0"/>
          <w:color w:val="000000"/>
          <w:kern w:val="0"/>
          <w:sz w:val="44"/>
          <w:szCs w:val="44"/>
          <w:highlight w:val="none"/>
          <w:lang w:val="en-US" w:eastAsia="zh-CN" w:bidi="ar"/>
        </w:rPr>
        <w:t>研判人员名单</w:t>
      </w:r>
    </w:p>
    <w:p w14:paraId="4A86789C">
      <w:pPr>
        <w:keepNext w:val="0"/>
        <w:keepLines w:val="0"/>
        <w:pageBreakBefore w:val="0"/>
        <w:widowControl w:val="0"/>
        <w:suppressLineNumbers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color w:val="000000"/>
          <w:kern w:val="0"/>
          <w:sz w:val="44"/>
          <w:szCs w:val="44"/>
          <w:highlight w:val="none"/>
          <w:lang w:val="en-US" w:eastAsia="zh-CN" w:bidi="ar"/>
        </w:rPr>
      </w:pP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2"/>
        <w:gridCol w:w="1200"/>
        <w:gridCol w:w="2622"/>
        <w:gridCol w:w="1365"/>
        <w:gridCol w:w="1317"/>
        <w:gridCol w:w="1371"/>
      </w:tblGrid>
      <w:tr w14:paraId="42D1F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75A7A374">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vertAlign w:val="baseline"/>
                <w:lang w:val="en-US" w:eastAsia="zh-CN"/>
              </w:rPr>
            </w:pPr>
            <w:r>
              <w:rPr>
                <w:rFonts w:hint="eastAsia" w:ascii="仿宋" w:hAnsi="仿宋" w:eastAsia="仿宋" w:cs="仿宋"/>
                <w:b w:val="0"/>
                <w:bCs w:val="0"/>
                <w:color w:val="auto"/>
                <w:sz w:val="30"/>
                <w:szCs w:val="30"/>
                <w:vertAlign w:val="baseline"/>
                <w:lang w:val="en-US" w:eastAsia="zh-CN"/>
              </w:rPr>
              <w:t>序号</w:t>
            </w:r>
          </w:p>
        </w:tc>
        <w:tc>
          <w:tcPr>
            <w:tcW w:w="1200" w:type="dxa"/>
            <w:vAlign w:val="top"/>
          </w:tcPr>
          <w:p w14:paraId="03E95D49">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vertAlign w:val="baseline"/>
                <w:lang w:val="en-US" w:eastAsia="zh-CN"/>
              </w:rPr>
            </w:pPr>
            <w:r>
              <w:rPr>
                <w:rFonts w:hint="eastAsia" w:ascii="仿宋" w:hAnsi="仿宋" w:eastAsia="仿宋" w:cs="仿宋"/>
                <w:b w:val="0"/>
                <w:bCs w:val="0"/>
                <w:color w:val="auto"/>
                <w:sz w:val="30"/>
                <w:szCs w:val="30"/>
                <w:vertAlign w:val="baseline"/>
                <w:lang w:val="en-US" w:eastAsia="zh-CN"/>
              </w:rPr>
              <w:t>姓名</w:t>
            </w:r>
          </w:p>
        </w:tc>
        <w:tc>
          <w:tcPr>
            <w:tcW w:w="2622" w:type="dxa"/>
            <w:vAlign w:val="top"/>
          </w:tcPr>
          <w:p w14:paraId="1A5B3BC8">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vertAlign w:val="baseline"/>
                <w:lang w:val="en-US" w:eastAsia="zh-CN"/>
              </w:rPr>
            </w:pPr>
            <w:r>
              <w:rPr>
                <w:rFonts w:hint="eastAsia" w:ascii="仿宋" w:hAnsi="仿宋" w:eastAsia="仿宋" w:cs="仿宋"/>
                <w:b w:val="0"/>
                <w:bCs w:val="0"/>
                <w:color w:val="auto"/>
                <w:sz w:val="30"/>
                <w:szCs w:val="30"/>
                <w:vertAlign w:val="baseline"/>
                <w:lang w:val="en-US" w:eastAsia="zh-CN"/>
              </w:rPr>
              <w:t>工作单位</w:t>
            </w:r>
          </w:p>
        </w:tc>
        <w:tc>
          <w:tcPr>
            <w:tcW w:w="1365" w:type="dxa"/>
            <w:vAlign w:val="top"/>
          </w:tcPr>
          <w:p w14:paraId="5388BD26">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vertAlign w:val="baseline"/>
                <w:lang w:val="en-US" w:eastAsia="zh-CN"/>
              </w:rPr>
            </w:pPr>
            <w:r>
              <w:rPr>
                <w:rFonts w:hint="eastAsia" w:ascii="仿宋" w:hAnsi="仿宋" w:eastAsia="仿宋" w:cs="仿宋"/>
                <w:b w:val="0"/>
                <w:bCs w:val="0"/>
                <w:color w:val="auto"/>
                <w:sz w:val="30"/>
                <w:szCs w:val="30"/>
                <w:vertAlign w:val="baseline"/>
                <w:lang w:val="en-US" w:eastAsia="zh-CN"/>
              </w:rPr>
              <w:t>职务</w:t>
            </w:r>
          </w:p>
        </w:tc>
        <w:tc>
          <w:tcPr>
            <w:tcW w:w="1317" w:type="dxa"/>
            <w:vAlign w:val="top"/>
          </w:tcPr>
          <w:p w14:paraId="4069B83C">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vertAlign w:val="baseline"/>
                <w:lang w:val="en-US" w:eastAsia="zh-CN"/>
              </w:rPr>
            </w:pPr>
            <w:r>
              <w:rPr>
                <w:rFonts w:hint="eastAsia" w:ascii="仿宋" w:hAnsi="仿宋" w:eastAsia="仿宋" w:cs="仿宋"/>
                <w:b w:val="0"/>
                <w:bCs w:val="0"/>
                <w:color w:val="auto"/>
                <w:sz w:val="30"/>
                <w:szCs w:val="30"/>
                <w:vertAlign w:val="baseline"/>
                <w:lang w:val="en-US" w:eastAsia="zh-CN"/>
              </w:rPr>
              <w:t>职称</w:t>
            </w:r>
          </w:p>
        </w:tc>
        <w:tc>
          <w:tcPr>
            <w:tcW w:w="1371" w:type="dxa"/>
            <w:vAlign w:val="top"/>
          </w:tcPr>
          <w:p w14:paraId="30DA984B">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vertAlign w:val="baseline"/>
                <w:lang w:val="en-US" w:eastAsia="zh-CN"/>
              </w:rPr>
            </w:pPr>
            <w:r>
              <w:rPr>
                <w:rFonts w:hint="eastAsia" w:ascii="仿宋" w:hAnsi="仿宋" w:eastAsia="仿宋" w:cs="仿宋"/>
                <w:b w:val="0"/>
                <w:bCs w:val="0"/>
                <w:color w:val="auto"/>
                <w:sz w:val="30"/>
                <w:szCs w:val="30"/>
                <w:vertAlign w:val="baseline"/>
                <w:lang w:val="en-US" w:eastAsia="zh-CN"/>
              </w:rPr>
              <w:t>专业</w:t>
            </w:r>
          </w:p>
        </w:tc>
      </w:tr>
      <w:tr w14:paraId="63DA4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972" w:type="dxa"/>
            <w:vAlign w:val="top"/>
          </w:tcPr>
          <w:p w14:paraId="2B758683">
            <w:pPr>
              <w:keepNext w:val="0"/>
              <w:keepLines w:val="0"/>
              <w:pageBreakBefore w:val="0"/>
              <w:widowControl w:val="0"/>
              <w:numPr>
                <w:ilvl w:val="0"/>
                <w:numId w:val="0"/>
              </w:numPr>
              <w:kinsoku/>
              <w:wordWrap/>
              <w:overflowPunct/>
              <w:topLinePunct w:val="0"/>
              <w:autoSpaceDE/>
              <w:autoSpaceDN/>
              <w:bidi w:val="0"/>
              <w:adjustRightInd/>
              <w:snapToGrid/>
              <w:ind w:left="0" w:leftChars="0" w:firstLine="296" w:firstLineChars="100"/>
              <w:jc w:val="both"/>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1</w:t>
            </w:r>
          </w:p>
        </w:tc>
        <w:tc>
          <w:tcPr>
            <w:tcW w:w="1200" w:type="dxa"/>
            <w:vAlign w:val="top"/>
          </w:tcPr>
          <w:p w14:paraId="72328D5E">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于清华</w:t>
            </w:r>
          </w:p>
        </w:tc>
        <w:tc>
          <w:tcPr>
            <w:tcW w:w="2622" w:type="dxa"/>
            <w:vAlign w:val="top"/>
          </w:tcPr>
          <w:p w14:paraId="4A9005B2">
            <w:pPr>
              <w:keepNext w:val="0"/>
              <w:keepLines w:val="0"/>
              <w:pageBreakBefore w:val="0"/>
              <w:widowControl w:val="0"/>
              <w:numPr>
                <w:ilvl w:val="0"/>
                <w:numId w:val="0"/>
              </w:numPr>
              <w:kinsoku/>
              <w:wordWrap/>
              <w:overflowPunct/>
              <w:topLinePunct w:val="0"/>
              <w:autoSpaceDE/>
              <w:autoSpaceDN/>
              <w:bidi w:val="0"/>
              <w:adjustRightInd/>
              <w:snapToGrid/>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卫健委</w:t>
            </w:r>
          </w:p>
        </w:tc>
        <w:tc>
          <w:tcPr>
            <w:tcW w:w="1365" w:type="dxa"/>
            <w:vAlign w:val="top"/>
          </w:tcPr>
          <w:p w14:paraId="1F8D2C41">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副主任</w:t>
            </w:r>
          </w:p>
        </w:tc>
        <w:tc>
          <w:tcPr>
            <w:tcW w:w="1317" w:type="dxa"/>
            <w:vAlign w:val="top"/>
          </w:tcPr>
          <w:p w14:paraId="21CFB594">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71" w:type="dxa"/>
            <w:vAlign w:val="top"/>
          </w:tcPr>
          <w:p w14:paraId="3B5776F8">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0FAD2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163F1FDC">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2</w:t>
            </w:r>
          </w:p>
        </w:tc>
        <w:tc>
          <w:tcPr>
            <w:tcW w:w="1200" w:type="dxa"/>
            <w:vAlign w:val="top"/>
          </w:tcPr>
          <w:p w14:paraId="4FCF045A">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陈巴拉</w:t>
            </w:r>
          </w:p>
        </w:tc>
        <w:tc>
          <w:tcPr>
            <w:tcW w:w="2622" w:type="dxa"/>
            <w:vAlign w:val="top"/>
          </w:tcPr>
          <w:p w14:paraId="042727D6">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疾控中心</w:t>
            </w:r>
          </w:p>
        </w:tc>
        <w:tc>
          <w:tcPr>
            <w:tcW w:w="1365" w:type="dxa"/>
            <w:vAlign w:val="top"/>
          </w:tcPr>
          <w:p w14:paraId="1D70E212">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副主任</w:t>
            </w:r>
          </w:p>
        </w:tc>
        <w:tc>
          <w:tcPr>
            <w:tcW w:w="1317" w:type="dxa"/>
            <w:vAlign w:val="top"/>
          </w:tcPr>
          <w:p w14:paraId="12F9A875">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中级</w:t>
            </w:r>
          </w:p>
        </w:tc>
        <w:tc>
          <w:tcPr>
            <w:tcW w:w="1371" w:type="dxa"/>
            <w:vAlign w:val="top"/>
          </w:tcPr>
          <w:p w14:paraId="6F32543A">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359C9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2F811A8C">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3</w:t>
            </w:r>
          </w:p>
        </w:tc>
        <w:tc>
          <w:tcPr>
            <w:tcW w:w="1200" w:type="dxa"/>
            <w:vAlign w:val="top"/>
          </w:tcPr>
          <w:p w14:paraId="12E0120D">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孙凤君</w:t>
            </w:r>
          </w:p>
        </w:tc>
        <w:tc>
          <w:tcPr>
            <w:tcW w:w="2622" w:type="dxa"/>
            <w:vAlign w:val="top"/>
          </w:tcPr>
          <w:p w14:paraId="5C9D8E62">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28"/>
                <w:szCs w:val="28"/>
                <w:vertAlign w:val="baseline"/>
                <w:lang w:val="en-US" w:eastAsia="zh-CN"/>
              </w:rPr>
              <w:t>市场监督管理局</w:t>
            </w:r>
          </w:p>
        </w:tc>
        <w:tc>
          <w:tcPr>
            <w:tcW w:w="1365" w:type="dxa"/>
            <w:vAlign w:val="top"/>
          </w:tcPr>
          <w:p w14:paraId="5D9DBD00">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副局长</w:t>
            </w:r>
          </w:p>
        </w:tc>
        <w:tc>
          <w:tcPr>
            <w:tcW w:w="1317" w:type="dxa"/>
            <w:vAlign w:val="top"/>
          </w:tcPr>
          <w:p w14:paraId="539A775E">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71" w:type="dxa"/>
            <w:vAlign w:val="top"/>
          </w:tcPr>
          <w:p w14:paraId="6C6B6E6D">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441C9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2D0F0EBF">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4</w:t>
            </w:r>
          </w:p>
        </w:tc>
        <w:tc>
          <w:tcPr>
            <w:tcW w:w="1200" w:type="dxa"/>
            <w:vAlign w:val="top"/>
          </w:tcPr>
          <w:p w14:paraId="50E10DFF">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王永华</w:t>
            </w:r>
          </w:p>
        </w:tc>
        <w:tc>
          <w:tcPr>
            <w:tcW w:w="2622" w:type="dxa"/>
            <w:vAlign w:val="top"/>
          </w:tcPr>
          <w:p w14:paraId="2EF710A8">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旗医院</w:t>
            </w:r>
          </w:p>
        </w:tc>
        <w:tc>
          <w:tcPr>
            <w:tcW w:w="1365" w:type="dxa"/>
            <w:vAlign w:val="top"/>
          </w:tcPr>
          <w:p w14:paraId="37A7DF0A">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both"/>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 xml:space="preserve">  医师</w:t>
            </w:r>
          </w:p>
        </w:tc>
        <w:tc>
          <w:tcPr>
            <w:tcW w:w="1317" w:type="dxa"/>
            <w:vAlign w:val="top"/>
          </w:tcPr>
          <w:p w14:paraId="59F82555">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中级</w:t>
            </w:r>
          </w:p>
        </w:tc>
        <w:tc>
          <w:tcPr>
            <w:tcW w:w="1371" w:type="dxa"/>
            <w:vAlign w:val="top"/>
          </w:tcPr>
          <w:p w14:paraId="02CA79FB">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1E27B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7B62A29E">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5</w:t>
            </w:r>
          </w:p>
        </w:tc>
        <w:tc>
          <w:tcPr>
            <w:tcW w:w="1200" w:type="dxa"/>
            <w:vAlign w:val="top"/>
          </w:tcPr>
          <w:p w14:paraId="5035A0F8">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孙  林</w:t>
            </w:r>
          </w:p>
        </w:tc>
        <w:tc>
          <w:tcPr>
            <w:tcW w:w="2622" w:type="dxa"/>
            <w:vAlign w:val="top"/>
          </w:tcPr>
          <w:p w14:paraId="748330F3">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旗医院</w:t>
            </w:r>
          </w:p>
        </w:tc>
        <w:tc>
          <w:tcPr>
            <w:tcW w:w="1365" w:type="dxa"/>
            <w:vAlign w:val="top"/>
          </w:tcPr>
          <w:p w14:paraId="79513BB3">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医师</w:t>
            </w:r>
          </w:p>
        </w:tc>
        <w:tc>
          <w:tcPr>
            <w:tcW w:w="1317" w:type="dxa"/>
            <w:vAlign w:val="top"/>
          </w:tcPr>
          <w:p w14:paraId="084B9392">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中级</w:t>
            </w:r>
          </w:p>
        </w:tc>
        <w:tc>
          <w:tcPr>
            <w:tcW w:w="1371" w:type="dxa"/>
            <w:vAlign w:val="top"/>
          </w:tcPr>
          <w:p w14:paraId="02DB5C5F">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59F9F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4D72209E">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6</w:t>
            </w:r>
          </w:p>
        </w:tc>
        <w:tc>
          <w:tcPr>
            <w:tcW w:w="1200" w:type="dxa"/>
            <w:vAlign w:val="top"/>
          </w:tcPr>
          <w:p w14:paraId="4E678574">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卜繁余</w:t>
            </w:r>
          </w:p>
        </w:tc>
        <w:tc>
          <w:tcPr>
            <w:tcW w:w="2622" w:type="dxa"/>
            <w:vAlign w:val="top"/>
          </w:tcPr>
          <w:p w14:paraId="478C64B8">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文旅局</w:t>
            </w:r>
          </w:p>
        </w:tc>
        <w:tc>
          <w:tcPr>
            <w:tcW w:w="1365" w:type="dxa"/>
            <w:vAlign w:val="top"/>
          </w:tcPr>
          <w:p w14:paraId="10970B4F">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17" w:type="dxa"/>
            <w:vAlign w:val="top"/>
          </w:tcPr>
          <w:p w14:paraId="58DEE97B">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71" w:type="dxa"/>
            <w:vAlign w:val="top"/>
          </w:tcPr>
          <w:p w14:paraId="6A0CA2A1">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55303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2BC61C01">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7</w:t>
            </w:r>
          </w:p>
        </w:tc>
        <w:tc>
          <w:tcPr>
            <w:tcW w:w="1200" w:type="dxa"/>
            <w:vAlign w:val="top"/>
          </w:tcPr>
          <w:p w14:paraId="54C97BBF">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李颖超</w:t>
            </w:r>
          </w:p>
        </w:tc>
        <w:tc>
          <w:tcPr>
            <w:tcW w:w="2622" w:type="dxa"/>
            <w:vAlign w:val="top"/>
          </w:tcPr>
          <w:p w14:paraId="578FA614">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公安局</w:t>
            </w:r>
          </w:p>
        </w:tc>
        <w:tc>
          <w:tcPr>
            <w:tcW w:w="1365" w:type="dxa"/>
            <w:vAlign w:val="top"/>
          </w:tcPr>
          <w:p w14:paraId="19D1173E">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17" w:type="dxa"/>
            <w:vAlign w:val="top"/>
          </w:tcPr>
          <w:p w14:paraId="253F0806">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71" w:type="dxa"/>
            <w:vAlign w:val="top"/>
          </w:tcPr>
          <w:p w14:paraId="01F75E1E">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23F12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3349CAB3">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8</w:t>
            </w:r>
          </w:p>
        </w:tc>
        <w:tc>
          <w:tcPr>
            <w:tcW w:w="1200" w:type="dxa"/>
            <w:vAlign w:val="top"/>
          </w:tcPr>
          <w:p w14:paraId="41758593">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牟中强</w:t>
            </w:r>
          </w:p>
        </w:tc>
        <w:tc>
          <w:tcPr>
            <w:tcW w:w="2622" w:type="dxa"/>
            <w:vAlign w:val="top"/>
          </w:tcPr>
          <w:p w14:paraId="036FB1FE">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交通局</w:t>
            </w:r>
          </w:p>
        </w:tc>
        <w:tc>
          <w:tcPr>
            <w:tcW w:w="1365" w:type="dxa"/>
            <w:vAlign w:val="top"/>
          </w:tcPr>
          <w:p w14:paraId="162F2197">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副局长</w:t>
            </w:r>
          </w:p>
        </w:tc>
        <w:tc>
          <w:tcPr>
            <w:tcW w:w="1317" w:type="dxa"/>
            <w:vAlign w:val="top"/>
          </w:tcPr>
          <w:p w14:paraId="7D8F13F4">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71" w:type="dxa"/>
            <w:vAlign w:val="top"/>
          </w:tcPr>
          <w:p w14:paraId="5C1501EF">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0ACE1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7A3F096D">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9</w:t>
            </w:r>
          </w:p>
        </w:tc>
        <w:tc>
          <w:tcPr>
            <w:tcW w:w="1200" w:type="dxa"/>
            <w:vAlign w:val="top"/>
          </w:tcPr>
          <w:p w14:paraId="20A1566E">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姜晓勇</w:t>
            </w:r>
          </w:p>
        </w:tc>
        <w:tc>
          <w:tcPr>
            <w:tcW w:w="2622" w:type="dxa"/>
            <w:vAlign w:val="top"/>
          </w:tcPr>
          <w:p w14:paraId="10ADECDE">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林草局</w:t>
            </w:r>
          </w:p>
        </w:tc>
        <w:tc>
          <w:tcPr>
            <w:tcW w:w="1365" w:type="dxa"/>
            <w:vAlign w:val="top"/>
          </w:tcPr>
          <w:p w14:paraId="07370026">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科员</w:t>
            </w:r>
          </w:p>
        </w:tc>
        <w:tc>
          <w:tcPr>
            <w:tcW w:w="1317" w:type="dxa"/>
            <w:vAlign w:val="top"/>
          </w:tcPr>
          <w:p w14:paraId="20ECA8F2">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71" w:type="dxa"/>
            <w:vAlign w:val="top"/>
          </w:tcPr>
          <w:p w14:paraId="027DD544">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55977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036098A9">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10</w:t>
            </w:r>
          </w:p>
        </w:tc>
        <w:tc>
          <w:tcPr>
            <w:tcW w:w="1200" w:type="dxa"/>
            <w:vAlign w:val="top"/>
          </w:tcPr>
          <w:p w14:paraId="75B25680">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both"/>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吕云飞</w:t>
            </w:r>
          </w:p>
        </w:tc>
        <w:tc>
          <w:tcPr>
            <w:tcW w:w="2622" w:type="dxa"/>
            <w:vAlign w:val="top"/>
          </w:tcPr>
          <w:p w14:paraId="6A59E2BB">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卫健委</w:t>
            </w:r>
          </w:p>
        </w:tc>
        <w:tc>
          <w:tcPr>
            <w:tcW w:w="1365" w:type="dxa"/>
            <w:vAlign w:val="top"/>
          </w:tcPr>
          <w:p w14:paraId="323FF11C">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股长</w:t>
            </w:r>
          </w:p>
        </w:tc>
        <w:tc>
          <w:tcPr>
            <w:tcW w:w="1317" w:type="dxa"/>
            <w:vAlign w:val="top"/>
          </w:tcPr>
          <w:p w14:paraId="5AAFE7E6">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71" w:type="dxa"/>
            <w:vAlign w:val="top"/>
          </w:tcPr>
          <w:p w14:paraId="7EAF1751">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55722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039F23FE">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11</w:t>
            </w:r>
          </w:p>
        </w:tc>
        <w:tc>
          <w:tcPr>
            <w:tcW w:w="1200" w:type="dxa"/>
            <w:vAlign w:val="top"/>
          </w:tcPr>
          <w:p w14:paraId="1D90C51E">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姚立超</w:t>
            </w:r>
          </w:p>
        </w:tc>
        <w:tc>
          <w:tcPr>
            <w:tcW w:w="2622" w:type="dxa"/>
            <w:vAlign w:val="top"/>
          </w:tcPr>
          <w:p w14:paraId="114A44EB">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爱卫服务中心</w:t>
            </w:r>
          </w:p>
        </w:tc>
        <w:tc>
          <w:tcPr>
            <w:tcW w:w="1365" w:type="dxa"/>
            <w:vAlign w:val="top"/>
          </w:tcPr>
          <w:p w14:paraId="09DC7F40">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主任</w:t>
            </w:r>
          </w:p>
        </w:tc>
        <w:tc>
          <w:tcPr>
            <w:tcW w:w="1317" w:type="dxa"/>
            <w:vAlign w:val="top"/>
          </w:tcPr>
          <w:p w14:paraId="1C5EA272">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71" w:type="dxa"/>
            <w:vAlign w:val="top"/>
          </w:tcPr>
          <w:p w14:paraId="38C84EDD">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389C2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2666F945">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vertAlign w:val="baseline"/>
                <w:lang w:val="en-US" w:eastAsia="zh-CN"/>
              </w:rPr>
            </w:pPr>
            <w:r>
              <w:rPr>
                <w:rFonts w:hint="eastAsia" w:ascii="仿宋" w:hAnsi="仿宋" w:eastAsia="仿宋" w:cs="仿宋"/>
                <w:b w:val="0"/>
                <w:bCs w:val="0"/>
                <w:color w:val="auto"/>
                <w:sz w:val="30"/>
                <w:szCs w:val="30"/>
                <w:vertAlign w:val="baseline"/>
                <w:lang w:val="en-US" w:eastAsia="zh-CN"/>
              </w:rPr>
              <w:t>12</w:t>
            </w:r>
          </w:p>
        </w:tc>
        <w:tc>
          <w:tcPr>
            <w:tcW w:w="1200" w:type="dxa"/>
            <w:vAlign w:val="top"/>
          </w:tcPr>
          <w:p w14:paraId="036CEF3D">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vertAlign w:val="baseline"/>
                <w:lang w:val="en-US" w:eastAsia="zh-CN"/>
              </w:rPr>
            </w:pPr>
            <w:r>
              <w:rPr>
                <w:rFonts w:hint="eastAsia" w:ascii="仿宋" w:hAnsi="仿宋" w:eastAsia="仿宋" w:cs="仿宋"/>
                <w:b w:val="0"/>
                <w:bCs w:val="0"/>
                <w:color w:val="auto"/>
                <w:sz w:val="30"/>
                <w:szCs w:val="30"/>
                <w:vertAlign w:val="baseline"/>
                <w:lang w:val="en-US" w:eastAsia="zh-CN"/>
              </w:rPr>
              <w:t>孟  琪</w:t>
            </w:r>
          </w:p>
        </w:tc>
        <w:tc>
          <w:tcPr>
            <w:tcW w:w="2622" w:type="dxa"/>
            <w:vAlign w:val="top"/>
          </w:tcPr>
          <w:p w14:paraId="128B49A7">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vertAlign w:val="baseline"/>
                <w:lang w:val="en-US" w:eastAsia="zh-CN"/>
              </w:rPr>
            </w:pPr>
            <w:r>
              <w:rPr>
                <w:rFonts w:hint="eastAsia" w:ascii="仿宋" w:hAnsi="仿宋" w:eastAsia="仿宋" w:cs="仿宋"/>
                <w:b w:val="0"/>
                <w:bCs w:val="0"/>
                <w:color w:val="auto"/>
                <w:sz w:val="30"/>
                <w:szCs w:val="30"/>
                <w:vertAlign w:val="baseline"/>
                <w:lang w:val="en-US" w:eastAsia="zh-CN"/>
              </w:rPr>
              <w:t>卫健委</w:t>
            </w:r>
          </w:p>
        </w:tc>
        <w:tc>
          <w:tcPr>
            <w:tcW w:w="1365" w:type="dxa"/>
            <w:vAlign w:val="top"/>
          </w:tcPr>
          <w:p w14:paraId="64677BE3">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vertAlign w:val="baseline"/>
                <w:lang w:val="en-US" w:eastAsia="zh-CN"/>
              </w:rPr>
            </w:pPr>
            <w:r>
              <w:rPr>
                <w:rFonts w:hint="eastAsia" w:ascii="仿宋" w:hAnsi="仿宋" w:eastAsia="仿宋" w:cs="仿宋"/>
                <w:b w:val="0"/>
                <w:bCs w:val="0"/>
                <w:color w:val="auto"/>
                <w:sz w:val="30"/>
                <w:szCs w:val="30"/>
                <w:vertAlign w:val="baseline"/>
                <w:lang w:val="en-US" w:eastAsia="zh-CN"/>
              </w:rPr>
              <w:t>科员</w:t>
            </w:r>
          </w:p>
        </w:tc>
        <w:tc>
          <w:tcPr>
            <w:tcW w:w="1317" w:type="dxa"/>
            <w:vAlign w:val="top"/>
          </w:tcPr>
          <w:p w14:paraId="51212175">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71" w:type="dxa"/>
            <w:vAlign w:val="top"/>
          </w:tcPr>
          <w:p w14:paraId="5097FACC">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vertAlign w:val="baseline"/>
                <w:lang w:val="en-US" w:eastAsia="zh-CN"/>
              </w:rPr>
            </w:pPr>
          </w:p>
        </w:tc>
      </w:tr>
      <w:tr w14:paraId="02A4B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0D543EFE">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13</w:t>
            </w:r>
          </w:p>
        </w:tc>
        <w:tc>
          <w:tcPr>
            <w:tcW w:w="1200" w:type="dxa"/>
            <w:vAlign w:val="top"/>
          </w:tcPr>
          <w:p w14:paraId="40480DA7">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程泽东</w:t>
            </w:r>
          </w:p>
        </w:tc>
        <w:tc>
          <w:tcPr>
            <w:tcW w:w="2622" w:type="dxa"/>
            <w:vAlign w:val="top"/>
          </w:tcPr>
          <w:p w14:paraId="04B760CA">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疾控中心</w:t>
            </w:r>
          </w:p>
        </w:tc>
        <w:tc>
          <w:tcPr>
            <w:tcW w:w="1365" w:type="dxa"/>
            <w:vAlign w:val="top"/>
          </w:tcPr>
          <w:p w14:paraId="22889228">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股长</w:t>
            </w:r>
          </w:p>
        </w:tc>
        <w:tc>
          <w:tcPr>
            <w:tcW w:w="1317" w:type="dxa"/>
            <w:vAlign w:val="top"/>
          </w:tcPr>
          <w:p w14:paraId="497FD211">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初级</w:t>
            </w:r>
          </w:p>
        </w:tc>
        <w:tc>
          <w:tcPr>
            <w:tcW w:w="1371" w:type="dxa"/>
            <w:vAlign w:val="top"/>
          </w:tcPr>
          <w:p w14:paraId="4C12897B">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09C2B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239C8C83">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14</w:t>
            </w:r>
          </w:p>
        </w:tc>
        <w:tc>
          <w:tcPr>
            <w:tcW w:w="1200" w:type="dxa"/>
            <w:vAlign w:val="top"/>
          </w:tcPr>
          <w:p w14:paraId="157CF4D8">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杨</w:t>
            </w:r>
            <w:r>
              <w:rPr>
                <w:rFonts w:hint="eastAsia" w:ascii="仿宋" w:hAnsi="仿宋" w:cs="仿宋"/>
                <w:b w:val="0"/>
                <w:bCs w:val="0"/>
                <w:color w:val="auto"/>
                <w:sz w:val="30"/>
                <w:szCs w:val="30"/>
                <w:vertAlign w:val="baseline"/>
                <w:lang w:val="en-US" w:eastAsia="zh-CN"/>
              </w:rPr>
              <w:t>晓</w:t>
            </w:r>
            <w:r>
              <w:rPr>
                <w:rFonts w:hint="eastAsia" w:ascii="仿宋" w:hAnsi="仿宋" w:eastAsia="仿宋" w:cs="仿宋"/>
                <w:b w:val="0"/>
                <w:bCs w:val="0"/>
                <w:color w:val="auto"/>
                <w:sz w:val="30"/>
                <w:szCs w:val="30"/>
                <w:vertAlign w:val="baseline"/>
                <w:lang w:val="en-US" w:eastAsia="zh-CN"/>
              </w:rPr>
              <w:t>宝</w:t>
            </w:r>
          </w:p>
        </w:tc>
        <w:tc>
          <w:tcPr>
            <w:tcW w:w="2622" w:type="dxa"/>
            <w:vAlign w:val="top"/>
          </w:tcPr>
          <w:p w14:paraId="05048A13">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市政</w:t>
            </w:r>
          </w:p>
        </w:tc>
        <w:tc>
          <w:tcPr>
            <w:tcW w:w="1365" w:type="dxa"/>
            <w:vAlign w:val="top"/>
          </w:tcPr>
          <w:p w14:paraId="6FEFDD94">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17" w:type="dxa"/>
            <w:vAlign w:val="top"/>
          </w:tcPr>
          <w:p w14:paraId="68B3F707">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71" w:type="dxa"/>
            <w:vAlign w:val="top"/>
          </w:tcPr>
          <w:p w14:paraId="08DD8C97">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7CF20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158A790E">
            <w:pPr>
              <w:keepNext w:val="0"/>
              <w:keepLines w:val="0"/>
              <w:pageBreakBefore w:val="0"/>
              <w:widowControl w:val="0"/>
              <w:numPr>
                <w:ilvl w:val="0"/>
                <w:numId w:val="0"/>
              </w:numPr>
              <w:tabs>
                <w:tab w:val="left" w:pos="234"/>
              </w:tabs>
              <w:kinsoku/>
              <w:wordWrap/>
              <w:overflowPunct/>
              <w:topLinePunct w:val="0"/>
              <w:autoSpaceDE/>
              <w:autoSpaceDN/>
              <w:bidi w:val="0"/>
              <w:adjustRightInd/>
              <w:snapToGrid/>
              <w:ind w:left="0" w:leftChars="0" w:firstLine="0" w:firstLineChars="0"/>
              <w:jc w:val="center"/>
              <w:textAlignment w:val="auto"/>
              <w:rPr>
                <w:rFonts w:hint="default"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15</w:t>
            </w:r>
          </w:p>
        </w:tc>
        <w:tc>
          <w:tcPr>
            <w:tcW w:w="1200" w:type="dxa"/>
            <w:vAlign w:val="top"/>
          </w:tcPr>
          <w:p w14:paraId="3E2A24ED">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姜  鹏</w:t>
            </w:r>
          </w:p>
        </w:tc>
        <w:tc>
          <w:tcPr>
            <w:tcW w:w="2622" w:type="dxa"/>
            <w:vAlign w:val="top"/>
          </w:tcPr>
          <w:p w14:paraId="5D2FEE3C">
            <w:pPr>
              <w:keepNext w:val="0"/>
              <w:keepLines w:val="0"/>
              <w:pageBreakBefore w:val="0"/>
              <w:widowControl w:val="0"/>
              <w:numPr>
                <w:ilvl w:val="0"/>
                <w:numId w:val="0"/>
              </w:numPr>
              <w:tabs>
                <w:tab w:val="left" w:pos="302"/>
              </w:tabs>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农科局</w:t>
            </w:r>
          </w:p>
        </w:tc>
        <w:tc>
          <w:tcPr>
            <w:tcW w:w="1365" w:type="dxa"/>
            <w:vAlign w:val="top"/>
          </w:tcPr>
          <w:p w14:paraId="522E0C8D">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股长</w:t>
            </w:r>
          </w:p>
        </w:tc>
        <w:tc>
          <w:tcPr>
            <w:tcW w:w="1317" w:type="dxa"/>
            <w:vAlign w:val="top"/>
          </w:tcPr>
          <w:p w14:paraId="7EE61B41">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default"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正高级</w:t>
            </w:r>
          </w:p>
        </w:tc>
        <w:tc>
          <w:tcPr>
            <w:tcW w:w="1371" w:type="dxa"/>
            <w:vAlign w:val="top"/>
          </w:tcPr>
          <w:p w14:paraId="2EAF6168">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r w14:paraId="0F1A8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2" w:type="dxa"/>
            <w:vAlign w:val="top"/>
          </w:tcPr>
          <w:p w14:paraId="244DB7B1">
            <w:pPr>
              <w:keepNext w:val="0"/>
              <w:keepLines w:val="0"/>
              <w:pageBreakBefore w:val="0"/>
              <w:widowControl w:val="0"/>
              <w:numPr>
                <w:ilvl w:val="0"/>
                <w:numId w:val="0"/>
              </w:numPr>
              <w:tabs>
                <w:tab w:val="left" w:pos="234"/>
              </w:tabs>
              <w:kinsoku/>
              <w:wordWrap/>
              <w:overflowPunct/>
              <w:topLinePunct w:val="0"/>
              <w:autoSpaceDE/>
              <w:autoSpaceDN/>
              <w:bidi w:val="0"/>
              <w:adjustRightInd/>
              <w:snapToGrid/>
              <w:ind w:left="0" w:leftChars="0" w:firstLine="0" w:firstLineChars="0"/>
              <w:jc w:val="center"/>
              <w:textAlignment w:val="auto"/>
              <w:rPr>
                <w:rFonts w:hint="default"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16</w:t>
            </w:r>
          </w:p>
        </w:tc>
        <w:tc>
          <w:tcPr>
            <w:tcW w:w="1200" w:type="dxa"/>
            <w:vAlign w:val="top"/>
          </w:tcPr>
          <w:p w14:paraId="1F167A87">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李守祥</w:t>
            </w:r>
          </w:p>
        </w:tc>
        <w:tc>
          <w:tcPr>
            <w:tcW w:w="2622" w:type="dxa"/>
            <w:vAlign w:val="top"/>
          </w:tcPr>
          <w:p w14:paraId="418B4748">
            <w:pPr>
              <w:keepNext w:val="0"/>
              <w:keepLines w:val="0"/>
              <w:pageBreakBefore w:val="0"/>
              <w:widowControl w:val="0"/>
              <w:numPr>
                <w:ilvl w:val="0"/>
                <w:numId w:val="0"/>
              </w:numPr>
              <w:tabs>
                <w:tab w:val="left" w:pos="302"/>
              </w:tabs>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旗卫健委</w:t>
            </w:r>
          </w:p>
        </w:tc>
        <w:tc>
          <w:tcPr>
            <w:tcW w:w="1365" w:type="dxa"/>
            <w:vAlign w:val="top"/>
          </w:tcPr>
          <w:p w14:paraId="1F776CD9">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17" w:type="dxa"/>
            <w:vAlign w:val="top"/>
          </w:tcPr>
          <w:p w14:paraId="1F82B9BF">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default" w:ascii="仿宋_GB2312" w:hAnsi="仿宋_GB2312" w:eastAsia="仿宋_GB2312" w:cs="仿宋_GB2312"/>
                <w:b w:val="0"/>
                <w:bCs w:val="0"/>
                <w:color w:val="auto"/>
                <w:sz w:val="32"/>
                <w:szCs w:val="32"/>
                <w:highlight w:val="none"/>
                <w:vertAlign w:val="baseline"/>
                <w:lang w:val="en-US" w:eastAsia="zh-CN"/>
              </w:rPr>
            </w:pPr>
            <w:r>
              <w:rPr>
                <w:rFonts w:hint="eastAsia" w:ascii="仿宋" w:hAnsi="仿宋" w:eastAsia="仿宋" w:cs="仿宋"/>
                <w:b w:val="0"/>
                <w:bCs w:val="0"/>
                <w:color w:val="auto"/>
                <w:sz w:val="30"/>
                <w:szCs w:val="30"/>
                <w:vertAlign w:val="baseline"/>
                <w:lang w:val="en-US" w:eastAsia="zh-CN"/>
              </w:rPr>
              <w:t>-</w:t>
            </w:r>
          </w:p>
        </w:tc>
        <w:tc>
          <w:tcPr>
            <w:tcW w:w="1371" w:type="dxa"/>
            <w:vAlign w:val="top"/>
          </w:tcPr>
          <w:p w14:paraId="2F7231F1">
            <w:pPr>
              <w:keepNext w:val="0"/>
              <w:keepLines w:val="0"/>
              <w:pageBreakBefore w:val="0"/>
              <w:widowControl w:val="0"/>
              <w:numPr>
                <w:ilvl w:val="0"/>
                <w:numId w:val="0"/>
              </w:numPr>
              <w:kinsoku/>
              <w:wordWrap/>
              <w:overflowPunct/>
              <w:topLinePunct w:val="0"/>
              <w:autoSpaceDE/>
              <w:autoSpaceDN/>
              <w:bidi w:val="0"/>
              <w:adjustRightInd/>
              <w:snapToGrid/>
              <w:ind w:left="0" w:leftChars="0" w:firstLine="0" w:firstLineChars="0"/>
              <w:jc w:val="center"/>
              <w:textAlignment w:val="auto"/>
              <w:rPr>
                <w:rFonts w:hint="eastAsia" w:ascii="仿宋_GB2312" w:hAnsi="仿宋_GB2312" w:eastAsia="仿宋_GB2312" w:cs="仿宋_GB2312"/>
                <w:b w:val="0"/>
                <w:bCs w:val="0"/>
                <w:color w:val="auto"/>
                <w:sz w:val="32"/>
                <w:szCs w:val="32"/>
                <w:highlight w:val="none"/>
                <w:vertAlign w:val="baseline"/>
                <w:lang w:val="en-US" w:eastAsia="zh-CN"/>
              </w:rPr>
            </w:pPr>
          </w:p>
        </w:tc>
      </w:tr>
    </w:tbl>
    <w:p w14:paraId="79592EA8">
      <w:pPr>
        <w:pStyle w:val="10"/>
        <w:keepNext w:val="0"/>
        <w:keepLines w:val="0"/>
        <w:pageBreakBefore w:val="0"/>
        <w:widowControl w:val="0"/>
        <w:kinsoku/>
        <w:wordWrap/>
        <w:overflowPunct/>
        <w:topLinePunct w:val="0"/>
        <w:autoSpaceDE/>
        <w:autoSpaceDN/>
        <w:bidi w:val="0"/>
        <w:adjustRightInd/>
        <w:snapToGrid/>
        <w:spacing w:line="560" w:lineRule="exact"/>
        <w:textAlignment w:val="auto"/>
        <w:rPr>
          <w:highlight w:val="none"/>
        </w:rPr>
      </w:pPr>
    </w:p>
    <w:sectPr>
      <w:footerReference r:id="rId3" w:type="default"/>
      <w:footerReference r:id="rId4" w:type="even"/>
      <w:pgSz w:w="11906" w:h="16838"/>
      <w:pgMar w:top="2098" w:right="1474" w:bottom="1871" w:left="1587" w:header="851" w:footer="1400" w:gutter="0"/>
      <w:pgNumType w:fmt="numberInDash" w:start="1"/>
      <w:cols w:space="720" w:num="1"/>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仿宋">
    <w:panose1 w:val="02010609060101010101"/>
    <w:charset w:val="86"/>
    <w:family w:val="modern"/>
    <w:pitch w:val="default"/>
    <w:sig w:usb0="800002BF" w:usb1="38CF7CFA" w:usb2="00000016" w:usb3="00000000" w:csb0="00040001" w:csb1="00000000"/>
  </w:font>
  <w:font w:name="Luxi Sans">
    <w:altName w:val="Arial"/>
    <w:panose1 w:val="00000000000000000000"/>
    <w:charset w:val="00"/>
    <w:family w:val="auto"/>
    <w:pitch w:val="default"/>
    <w:sig w:usb0="00000000" w:usb1="00000000" w:usb2="00000000" w:usb3="00000000" w:csb0="0000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915256">
    <w:pPr>
      <w:pStyle w:val="7"/>
      <w:framePr w:wrap="around" w:vAnchor="text" w:hAnchor="margin" w:xAlign="center" w:y="1"/>
      <w:pBdr>
        <w:top w:val="none" w:color="auto" w:sz="0" w:space="0"/>
        <w:left w:val="none" w:color="auto" w:sz="0" w:space="0"/>
        <w:bottom w:val="none" w:color="auto" w:sz="0" w:space="0"/>
        <w:right w:val="none" w:color="auto" w:sz="0" w:space="0"/>
      </w:pBdr>
      <w:ind w:right="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96F798">
                          <w:pPr>
                            <w:pStyle w:val="7"/>
                            <w:pBdr>
                              <w:top w:val="none" w:color="auto" w:sz="0" w:space="0"/>
                              <w:left w:val="none" w:color="auto" w:sz="0" w:space="0"/>
                              <w:bottom w:val="none" w:color="auto" w:sz="0" w:space="0"/>
                              <w:right w:val="none" w:color="auto" w:sz="0" w:space="0"/>
                            </w:pBdr>
                            <w:rPr>
                              <w:rFonts w:ascii="Times New Roman" w:hAnsi="Times New Roman" w:cs="Times New Roman"/>
                              <w:sz w:val="22"/>
                            </w:rPr>
                          </w:pPr>
                          <w:r>
                            <w:rPr>
                              <w:rStyle w:val="14"/>
                              <w:rFonts w:ascii="Times New Roman" w:hAnsi="Times New Roman" w:cs="Times New Roman"/>
                              <w:sz w:val="22"/>
                            </w:rPr>
                            <w:fldChar w:fldCharType="begin"/>
                          </w:r>
                          <w:r>
                            <w:rPr>
                              <w:rStyle w:val="14"/>
                              <w:rFonts w:ascii="Times New Roman" w:hAnsi="Times New Roman" w:cs="Times New Roman"/>
                              <w:sz w:val="22"/>
                            </w:rPr>
                            <w:instrText xml:space="preserve">Page</w:instrText>
                          </w:r>
                          <w:r>
                            <w:rPr>
                              <w:rStyle w:val="14"/>
                              <w:rFonts w:ascii="Times New Roman" w:hAnsi="Times New Roman" w:cs="Times New Roman"/>
                              <w:sz w:val="22"/>
                            </w:rPr>
                            <w:fldChar w:fldCharType="separate"/>
                          </w:r>
                          <w:r>
                            <w:rPr>
                              <w:rStyle w:val="14"/>
                              <w:rFonts w:ascii="Times New Roman" w:hAnsi="Times New Roman" w:cs="Times New Roman"/>
                              <w:sz w:val="22"/>
                            </w:rPr>
                            <w:t>— 3 —</w:t>
                          </w:r>
                          <w:r>
                            <w:rPr>
                              <w:rStyle w:val="14"/>
                              <w:rFonts w:ascii="Times New Roman" w:hAnsi="Times New Roman" w:cs="Times New Roman"/>
                              <w:sz w:val="2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196F798">
                    <w:pPr>
                      <w:pStyle w:val="7"/>
                      <w:pBdr>
                        <w:top w:val="none" w:color="auto" w:sz="0" w:space="0"/>
                        <w:left w:val="none" w:color="auto" w:sz="0" w:space="0"/>
                        <w:bottom w:val="none" w:color="auto" w:sz="0" w:space="0"/>
                        <w:right w:val="none" w:color="auto" w:sz="0" w:space="0"/>
                      </w:pBdr>
                      <w:rPr>
                        <w:rFonts w:ascii="Times New Roman" w:hAnsi="Times New Roman" w:cs="Times New Roman"/>
                        <w:sz w:val="22"/>
                      </w:rPr>
                    </w:pPr>
                    <w:r>
                      <w:rPr>
                        <w:rStyle w:val="14"/>
                        <w:rFonts w:ascii="Times New Roman" w:hAnsi="Times New Roman" w:cs="Times New Roman"/>
                        <w:sz w:val="22"/>
                      </w:rPr>
                      <w:fldChar w:fldCharType="begin"/>
                    </w:r>
                    <w:r>
                      <w:rPr>
                        <w:rStyle w:val="14"/>
                        <w:rFonts w:ascii="Times New Roman" w:hAnsi="Times New Roman" w:cs="Times New Roman"/>
                        <w:sz w:val="22"/>
                      </w:rPr>
                      <w:instrText xml:space="preserve">Page</w:instrText>
                    </w:r>
                    <w:r>
                      <w:rPr>
                        <w:rStyle w:val="14"/>
                        <w:rFonts w:ascii="Times New Roman" w:hAnsi="Times New Roman" w:cs="Times New Roman"/>
                        <w:sz w:val="22"/>
                      </w:rPr>
                      <w:fldChar w:fldCharType="separate"/>
                    </w:r>
                    <w:r>
                      <w:rPr>
                        <w:rStyle w:val="14"/>
                        <w:rFonts w:ascii="Times New Roman" w:hAnsi="Times New Roman" w:cs="Times New Roman"/>
                        <w:sz w:val="22"/>
                      </w:rPr>
                      <w:t>— 3 —</w:t>
                    </w:r>
                    <w:r>
                      <w:rPr>
                        <w:rStyle w:val="14"/>
                        <w:rFonts w:ascii="Times New Roman" w:hAnsi="Times New Roman" w:cs="Times New Roman"/>
                        <w:sz w:val="22"/>
                      </w:rPr>
                      <w:fldChar w:fldCharType="end"/>
                    </w:r>
                  </w:p>
                </w:txbxContent>
              </v:textbox>
            </v:shape>
          </w:pict>
        </mc:Fallback>
      </mc:AlternateContent>
    </w:r>
  </w:p>
  <w:p w14:paraId="769672E5">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B526D">
    <w:pPr>
      <w:pStyle w:val="7"/>
      <w:ind w:right="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5A3298">
                          <w:pPr>
                            <w:pStyle w:val="7"/>
                            <w:pBdr>
                              <w:top w:val="none" w:color="auto" w:sz="0" w:space="0"/>
                              <w:left w:val="none" w:color="auto" w:sz="0" w:space="0"/>
                              <w:bottom w:val="none" w:color="auto" w:sz="0" w:space="0"/>
                              <w:right w:val="none" w:color="auto" w:sz="0" w:space="0"/>
                            </w:pBdr>
                            <w:rPr>
                              <w:rFonts w:ascii="Times New Roman" w:hAnsi="Times New Roman" w:cs="Times New Roman"/>
                              <w:sz w:val="22"/>
                            </w:rPr>
                          </w:pPr>
                          <w:r>
                            <w:rPr>
                              <w:rStyle w:val="14"/>
                              <w:rFonts w:ascii="Times New Roman" w:hAnsi="Times New Roman" w:cs="Times New Roman"/>
                              <w:sz w:val="22"/>
                            </w:rPr>
                            <w:fldChar w:fldCharType="begin"/>
                          </w:r>
                          <w:r>
                            <w:rPr>
                              <w:rStyle w:val="14"/>
                              <w:rFonts w:ascii="Times New Roman" w:hAnsi="Times New Roman" w:cs="Times New Roman"/>
                              <w:sz w:val="22"/>
                            </w:rPr>
                            <w:instrText xml:space="preserve">Page</w:instrText>
                          </w:r>
                          <w:r>
                            <w:rPr>
                              <w:rStyle w:val="14"/>
                              <w:rFonts w:ascii="Times New Roman" w:hAnsi="Times New Roman" w:cs="Times New Roman"/>
                              <w:sz w:val="22"/>
                            </w:rPr>
                            <w:fldChar w:fldCharType="separate"/>
                          </w:r>
                          <w:r>
                            <w:rPr>
                              <w:rStyle w:val="14"/>
                              <w:rFonts w:ascii="Times New Roman" w:hAnsi="Times New Roman" w:cs="Times New Roman"/>
                              <w:sz w:val="22"/>
                            </w:rPr>
                            <w:t>— 2 —</w:t>
                          </w:r>
                          <w:r>
                            <w:rPr>
                              <w:rStyle w:val="14"/>
                              <w:rFonts w:ascii="Times New Roman" w:hAnsi="Times New Roman" w:cs="Times New Roman"/>
                              <w:sz w:val="2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25A3298">
                    <w:pPr>
                      <w:pStyle w:val="7"/>
                      <w:pBdr>
                        <w:top w:val="none" w:color="auto" w:sz="0" w:space="0"/>
                        <w:left w:val="none" w:color="auto" w:sz="0" w:space="0"/>
                        <w:bottom w:val="none" w:color="auto" w:sz="0" w:space="0"/>
                        <w:right w:val="none" w:color="auto" w:sz="0" w:space="0"/>
                      </w:pBdr>
                      <w:rPr>
                        <w:rFonts w:ascii="Times New Roman" w:hAnsi="Times New Roman" w:cs="Times New Roman"/>
                        <w:sz w:val="22"/>
                      </w:rPr>
                    </w:pPr>
                    <w:r>
                      <w:rPr>
                        <w:rStyle w:val="14"/>
                        <w:rFonts w:ascii="Times New Roman" w:hAnsi="Times New Roman" w:cs="Times New Roman"/>
                        <w:sz w:val="22"/>
                      </w:rPr>
                      <w:fldChar w:fldCharType="begin"/>
                    </w:r>
                    <w:r>
                      <w:rPr>
                        <w:rStyle w:val="14"/>
                        <w:rFonts w:ascii="Times New Roman" w:hAnsi="Times New Roman" w:cs="Times New Roman"/>
                        <w:sz w:val="22"/>
                      </w:rPr>
                      <w:instrText xml:space="preserve">Page</w:instrText>
                    </w:r>
                    <w:r>
                      <w:rPr>
                        <w:rStyle w:val="14"/>
                        <w:rFonts w:ascii="Times New Roman" w:hAnsi="Times New Roman" w:cs="Times New Roman"/>
                        <w:sz w:val="22"/>
                      </w:rPr>
                      <w:fldChar w:fldCharType="separate"/>
                    </w:r>
                    <w:r>
                      <w:rPr>
                        <w:rStyle w:val="14"/>
                        <w:rFonts w:ascii="Times New Roman" w:hAnsi="Times New Roman" w:cs="Times New Roman"/>
                        <w:sz w:val="22"/>
                      </w:rPr>
                      <w:t>— 2 —</w:t>
                    </w:r>
                    <w:r>
                      <w:rPr>
                        <w:rStyle w:val="14"/>
                        <w:rFonts w:ascii="Times New Roman" w:hAnsi="Times New Roman" w:cs="Times New Roman"/>
                        <w:sz w:val="22"/>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E5B79FC"/>
    <w:multiLevelType w:val="singleLevel"/>
    <w:tmpl w:val="1E5B79FC"/>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evenAndOddHeaders w:val="1"/>
  <w:drawingGridHorizontalSpacing w:val="158"/>
  <w:drawingGridVerticalSpacing w:val="579"/>
  <w:displayHorizontalDrawingGridEvery w:val="0"/>
  <w:displayVerticalDrawingGridEvery w:val="1"/>
  <w:characterSpacingControl w:val="compressPunctuation"/>
  <w:compat>
    <w:spaceForUL/>
    <w:balanceSingleByteDoubleByteWidth/>
    <w:ulTrailSpace/>
    <w:doNotExpandShiftReturn/>
    <w:adjustLineHeightInTable/>
    <w:useFELayout/>
    <w:compatSetting w:name="compatibilityMode" w:uri="http://schemas.microsoft.com/office/word" w:val="15"/>
  </w:compat>
  <w:docVars>
    <w:docVar w:name="commondata" w:val="eyJoZGlkIjoiNWZlMjVmNWYwMTIxOWU5NTUwMzljM2UwNjRjODBlZDEifQ=="/>
  </w:docVars>
  <w:rsids>
    <w:rsidRoot w:val="00000000"/>
    <w:rsid w:val="040C46C7"/>
    <w:rsid w:val="12527A9D"/>
    <w:rsid w:val="194056DB"/>
    <w:rsid w:val="20951DDF"/>
    <w:rsid w:val="296971A7"/>
    <w:rsid w:val="2FF250F8"/>
    <w:rsid w:val="322D0C5D"/>
    <w:rsid w:val="35987B7B"/>
    <w:rsid w:val="36837801"/>
    <w:rsid w:val="3F8322B8"/>
    <w:rsid w:val="40273FF5"/>
    <w:rsid w:val="43B0347B"/>
    <w:rsid w:val="47656FE3"/>
    <w:rsid w:val="4A7E41F6"/>
    <w:rsid w:val="4EFE3F4A"/>
    <w:rsid w:val="5D427090"/>
    <w:rsid w:val="5FFE72BD"/>
    <w:rsid w:val="618A7BF0"/>
    <w:rsid w:val="620F504D"/>
    <w:rsid w:val="630814F9"/>
    <w:rsid w:val="6643084E"/>
    <w:rsid w:val="6F7A10CA"/>
    <w:rsid w:val="727F31DC"/>
    <w:rsid w:val="7306191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等线" w:hAnsi="等线" w:eastAsia="仿宋" w:cs="Arial"/>
      <w:kern w:val="2"/>
      <w:sz w:val="32"/>
      <w:szCs w:val="22"/>
      <w:lang w:val="en-US" w:eastAsia="zh-CN" w:bidi="ar-SA"/>
    </w:rPr>
  </w:style>
  <w:style w:type="paragraph" w:styleId="3">
    <w:name w:val="heading 1"/>
    <w:basedOn w:val="1"/>
    <w:next w:val="1"/>
    <w:autoRedefine/>
    <w:qFormat/>
    <w:uiPriority w:val="0"/>
    <w:pPr>
      <w:keepNext/>
      <w:keepLines/>
      <w:widowControl w:val="0"/>
      <w:spacing w:before="340" w:after="330" w:line="578" w:lineRule="auto"/>
      <w:outlineLvl w:val="0"/>
    </w:pPr>
    <w:rPr>
      <w:b/>
      <w:bCs/>
      <w:kern w:val="44"/>
      <w:sz w:val="44"/>
      <w:szCs w:val="44"/>
    </w:rPr>
  </w:style>
  <w:style w:type="paragraph" w:styleId="4">
    <w:name w:val="heading 2"/>
    <w:basedOn w:val="1"/>
    <w:next w:val="1"/>
    <w:autoRedefine/>
    <w:qFormat/>
    <w:uiPriority w:val="0"/>
    <w:pPr>
      <w:keepNext/>
      <w:keepLines/>
      <w:widowControl w:val="0"/>
      <w:spacing w:before="260" w:after="260" w:line="415" w:lineRule="auto"/>
      <w:outlineLvl w:val="1"/>
    </w:pPr>
    <w:rPr>
      <w:rFonts w:ascii="Luxi Sans" w:hAnsi="Luxi Sans" w:eastAsia="黑体"/>
      <w:b/>
      <w:sz w:val="32"/>
    </w:rPr>
  </w:style>
  <w:style w:type="paragraph" w:styleId="2">
    <w:name w:val="heading 3"/>
    <w:basedOn w:val="1"/>
    <w:next w:val="1"/>
    <w:autoRedefine/>
    <w:qFormat/>
    <w:uiPriority w:val="0"/>
    <w:pPr>
      <w:keepNext/>
      <w:keepLines/>
      <w:widowControl w:val="0"/>
      <w:spacing w:before="260" w:after="260" w:line="415" w:lineRule="auto"/>
      <w:outlineLvl w:val="2"/>
    </w:pPr>
    <w:rPr>
      <w:b/>
      <w:sz w:val="32"/>
    </w:rPr>
  </w:style>
  <w:style w:type="character" w:default="1" w:styleId="13">
    <w:name w:val="Default Paragraph Font"/>
    <w:autoRedefine/>
    <w:qFormat/>
    <w:uiPriority w:val="0"/>
  </w:style>
  <w:style w:type="table" w:default="1" w:styleId="11">
    <w:name w:val="Normal Table"/>
    <w:autoRedefine/>
    <w:semiHidden/>
    <w:qFormat/>
    <w:uiPriority w:val="0"/>
    <w:tblPr>
      <w:tblCellMar>
        <w:top w:w="0" w:type="dxa"/>
        <w:left w:w="108" w:type="dxa"/>
        <w:bottom w:w="0" w:type="dxa"/>
        <w:right w:w="108" w:type="dxa"/>
      </w:tblCellMar>
    </w:tblPr>
  </w:style>
  <w:style w:type="paragraph" w:styleId="5">
    <w:name w:val="index 8"/>
    <w:basedOn w:val="1"/>
    <w:next w:val="1"/>
    <w:autoRedefine/>
    <w:qFormat/>
    <w:uiPriority w:val="0"/>
    <w:pPr>
      <w:ind w:left="2940"/>
    </w:pPr>
  </w:style>
  <w:style w:type="paragraph" w:styleId="6">
    <w:name w:val="Balloon Text"/>
    <w:basedOn w:val="1"/>
    <w:autoRedefine/>
    <w:qFormat/>
    <w:uiPriority w:val="0"/>
    <w:rPr>
      <w:sz w:val="18"/>
      <w:szCs w:val="18"/>
    </w:rPr>
  </w:style>
  <w:style w:type="paragraph" w:styleId="7">
    <w:name w:val="footer"/>
    <w:basedOn w:val="1"/>
    <w:autoRedefine/>
    <w:qFormat/>
    <w:uiPriority w:val="0"/>
    <w:pPr>
      <w:tabs>
        <w:tab w:val="center" w:pos="4153"/>
        <w:tab w:val="right" w:pos="8306"/>
      </w:tabs>
      <w:snapToGrid w:val="0"/>
      <w:jc w:val="left"/>
    </w:pPr>
    <w:rPr>
      <w:sz w:val="18"/>
    </w:rPr>
  </w:style>
  <w:style w:type="paragraph" w:styleId="8">
    <w:name w:val="header"/>
    <w:basedOn w:val="1"/>
    <w:autoRedefine/>
    <w:qFormat/>
    <w:uiPriority w:val="0"/>
    <w:pPr>
      <w:pBdr>
        <w:top w:val="none" w:color="auto" w:sz="0" w:space="0"/>
        <w:left w:val="none" w:color="auto" w:sz="0" w:space="0"/>
        <w:bottom w:val="none" w:color="auto" w:sz="0" w:space="0"/>
        <w:right w:val="none" w:color="auto" w:sz="0" w:space="0"/>
      </w:pBdr>
      <w:tabs>
        <w:tab w:val="center" w:pos="4153"/>
        <w:tab w:val="right" w:pos="8306"/>
      </w:tabs>
      <w:snapToGrid w:val="0"/>
    </w:pPr>
    <w:rPr>
      <w:sz w:val="18"/>
    </w:rPr>
  </w:style>
  <w:style w:type="paragraph" w:styleId="9">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styleId="10">
    <w:name w:val="Title"/>
    <w:basedOn w:val="1"/>
    <w:next w:val="1"/>
    <w:autoRedefine/>
    <w:qFormat/>
    <w:uiPriority w:val="10"/>
    <w:pPr>
      <w:spacing w:before="240" w:after="60"/>
      <w:jc w:val="center"/>
      <w:outlineLvl w:val="0"/>
    </w:pPr>
    <w:rPr>
      <w:rFonts w:ascii="Arial" w:hAnsi="Arial"/>
      <w:b/>
      <w:sz w:val="32"/>
    </w:rPr>
  </w:style>
  <w:style w:type="table" w:styleId="12">
    <w:name w:val="Table Grid"/>
    <w:basedOn w:val="11"/>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page number"/>
    <w:basedOn w:val="13"/>
    <w:autoRedefine/>
    <w:qFormat/>
    <w:uiPriority w:val="0"/>
  </w:style>
  <w:style w:type="paragraph" w:customStyle="1" w:styleId="15">
    <w:name w:val="列表段落1"/>
    <w:basedOn w:val="1"/>
    <w:autoRedefine/>
    <w:qFormat/>
    <w:uiPriority w:val="0"/>
    <w:pPr>
      <w:widowControl w:val="0"/>
      <w:ind w:firstLine="200" w:firstLineChars="200"/>
      <w:jc w:val="both"/>
    </w:pPr>
    <w:rPr>
      <w:rFonts w:ascii="Calibri" w:hAnsi="Calibri" w:eastAsia="宋体" w:cs="Times New Roman"/>
      <w:kern w:val="2"/>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customData xmlns="http://www.yozosoft.com.cn/officeDocument/2016/customData">
  <customProps>
    <docPr/>
    <sectPr pgNumType="\* ArabicDash2"/>
  </customProps>
</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16D2159-2ACB-4BF3-98DF-4AAAE9F8D81D}">
  <ds:schemaRefs/>
</ds:datastoreItem>
</file>

<file path=docProps/app.xml><?xml version="1.0" encoding="utf-8"?>
<Properties xmlns="http://schemas.openxmlformats.org/officeDocument/2006/extended-properties" xmlns:vt="http://schemas.openxmlformats.org/officeDocument/2006/docPropsVTypes">
  <Template>Normal.eit</Template>
  <Pages>12</Pages>
  <Words>5467</Words>
  <Characters>5602</Characters>
  <Lines>877</Lines>
  <Paragraphs>305</Paragraphs>
  <TotalTime>25</TotalTime>
  <ScaleCrop>false</ScaleCrop>
  <LinksUpToDate>false</LinksUpToDate>
  <CharactersWithSpaces>5682</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2019-11-25T03:05:00Z</dcterms:created>
  <dc:creator>zt</dc:creator>
  <cp:lastModifiedBy>玫瑰ill</cp:lastModifiedBy>
  <cp:lastPrinted>2024-08-15T02:36:00Z</cp:lastPrinted>
  <dcterms:modified xsi:type="dcterms:W3CDTF">2024-10-11T08:31:19Z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255DF950222C42438DA5A5D7AD3871DE_13</vt:lpwstr>
  </property>
</Properties>
</file>