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3B1256">
      <w:pPr>
        <w:keepNext w:val="0"/>
        <w:keepLines w:val="0"/>
        <w:pageBreakBefore w:val="0"/>
        <w:kinsoku/>
        <w:wordWrap/>
        <w:overflowPunct/>
        <w:topLinePunct w:val="0"/>
        <w:autoSpaceDE/>
        <w:autoSpaceDN/>
        <w:bidi w:val="0"/>
        <w:adjustRightInd/>
        <w:snapToGrid/>
        <w:spacing w:line="520" w:lineRule="exact"/>
        <w:jc w:val="center"/>
        <w:textAlignment w:val="auto"/>
        <w:rPr>
          <w:rFonts w:hint="eastAsia" w:ascii="方正小标宋简体" w:hAnsi="方正小标宋简体" w:eastAsia="方正小标宋简体" w:cs="方正小标宋简体"/>
          <w:color w:val="000000" w:themeColor="text1"/>
          <w:sz w:val="44"/>
          <w:szCs w:val="44"/>
          <w14:textFill>
            <w14:solidFill>
              <w14:schemeClr w14:val="tx1"/>
            </w14:solidFill>
          </w14:textFill>
        </w:rPr>
      </w:pPr>
      <w:bookmarkStart w:id="0" w:name="_GoBack"/>
      <w:bookmarkEnd w:id="0"/>
      <w:r>
        <w:rPr>
          <w:rFonts w:hint="eastAsia" w:ascii="方正小标宋简体" w:hAnsi="方正小标宋简体" w:eastAsia="方正小标宋简体" w:cs="方正小标宋简体"/>
          <w:color w:val="000000" w:themeColor="text1"/>
          <w:sz w:val="44"/>
          <w:szCs w:val="44"/>
          <w:lang w:val="en-US" w:eastAsia="zh-CN"/>
          <w14:textFill>
            <w14:solidFill>
              <w14:schemeClr w14:val="tx1"/>
            </w14:solidFill>
          </w14:textFill>
        </w:rPr>
        <w:t>奈曼旗</w:t>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w:t>
      </w:r>
      <w:r>
        <w:rPr>
          <w:rFonts w:hint="eastAsia" w:ascii="方正小标宋简体" w:hAnsi="方正小标宋简体" w:eastAsia="方正小标宋简体" w:cs="方正小标宋简体"/>
          <w:color w:val="000000" w:themeColor="text1"/>
          <w:sz w:val="44"/>
          <w:szCs w:val="44"/>
          <w:lang w:val="en-US" w:eastAsia="zh-CN"/>
          <w14:textFill>
            <w14:solidFill>
              <w14:schemeClr w14:val="tx1"/>
            </w14:solidFill>
          </w14:textFill>
        </w:rPr>
        <w:t>24</w:t>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年基层农技推广体系改革与建设</w:t>
      </w:r>
      <w:r>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t>补助项目</w:t>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实施方案</w:t>
      </w:r>
    </w:p>
    <w:p w14:paraId="61B348F2">
      <w:pPr>
        <w:keepNext w:val="0"/>
        <w:keepLines w:val="0"/>
        <w:pageBreakBefore w:val="0"/>
        <w:kinsoku/>
        <w:wordWrap/>
        <w:overflowPunct/>
        <w:topLinePunct w:val="0"/>
        <w:autoSpaceDE/>
        <w:autoSpaceDN/>
        <w:bidi w:val="0"/>
        <w:adjustRightInd/>
        <w:snapToGrid/>
        <w:spacing w:line="520" w:lineRule="exact"/>
        <w:ind w:firstLine="420" w:firstLineChars="200"/>
        <w:jc w:val="center"/>
        <w:textAlignment w:val="auto"/>
        <w:rPr>
          <w:rFonts w:hint="default" w:ascii="Times New Roman" w:hAnsi="Times New Roman" w:eastAsia="方正小标宋简体" w:cs="Times New Roman"/>
          <w:color w:val="000000" w:themeColor="text1"/>
          <w:sz w:val="21"/>
          <w:szCs w:val="21"/>
          <w14:textFill>
            <w14:solidFill>
              <w14:schemeClr w14:val="tx1"/>
            </w14:solidFill>
          </w14:textFill>
        </w:rPr>
      </w:pPr>
    </w:p>
    <w:p w14:paraId="5601071F">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为持续深化基层农技推广体系改革建设，有力提升农技推广服务效能，积极促进</w:t>
      </w:r>
      <w:r>
        <w:rPr>
          <w:rFonts w:hint="eastAsia" w:ascii="仿宋_GB2312" w:hAnsi="仿宋_GB2312" w:eastAsia="仿宋_GB2312" w:cs="仿宋_GB2312"/>
          <w:color w:val="000000" w:themeColor="text1"/>
          <w:sz w:val="32"/>
          <w:szCs w:val="32"/>
          <w:lang w:eastAsia="zh-CN"/>
          <w14:textFill>
            <w14:solidFill>
              <w14:schemeClr w14:val="tx1"/>
            </w14:solidFill>
          </w14:textFill>
        </w:rPr>
        <w:t>奈曼旗</w:t>
      </w:r>
      <w:r>
        <w:rPr>
          <w:rFonts w:hint="eastAsia" w:ascii="仿宋_GB2312" w:hAnsi="仿宋_GB2312" w:eastAsia="仿宋_GB2312" w:cs="仿宋_GB2312"/>
          <w:color w:val="000000" w:themeColor="text1"/>
          <w:sz w:val="32"/>
          <w:szCs w:val="32"/>
          <w14:textFill>
            <w14:solidFill>
              <w14:schemeClr w14:val="tx1"/>
            </w14:solidFill>
          </w14:textFill>
        </w:rPr>
        <w:t>乡村振兴全面实施，</w:t>
      </w:r>
      <w:r>
        <w:rPr>
          <w:rFonts w:hint="eastAsia" w:ascii="仿宋_GB2312" w:hAnsi="仿宋_GB2312" w:eastAsia="仿宋_GB2312" w:cs="仿宋_GB2312"/>
          <w:color w:val="000000" w:themeColor="text1"/>
          <w:sz w:val="32"/>
          <w:szCs w:val="32"/>
          <w:lang w:eastAsia="zh-CN"/>
          <w14:textFill>
            <w14:solidFill>
              <w14:schemeClr w14:val="tx1"/>
            </w14:solidFill>
          </w14:textFill>
        </w:rPr>
        <w:t>根据《</w:t>
      </w:r>
      <w:r>
        <w:rPr>
          <w:rFonts w:hint="eastAsia" w:ascii="仿宋_GB2312" w:hAnsi="仿宋_GB2312" w:eastAsia="仿宋_GB2312" w:cs="仿宋_GB2312"/>
          <w:color w:val="000000" w:themeColor="text1"/>
          <w:sz w:val="32"/>
          <w:szCs w:val="32"/>
          <w14:textFill>
            <w14:solidFill>
              <w14:schemeClr w14:val="tx1"/>
            </w14:solidFill>
          </w14:textFill>
        </w:rPr>
        <w:t>关于</w:t>
      </w:r>
      <w:r>
        <w:rPr>
          <w:rFonts w:hint="eastAsia" w:ascii="仿宋_GB2312" w:hAnsi="仿宋_GB2312" w:eastAsia="仿宋_GB2312" w:cs="仿宋_GB2312"/>
          <w:color w:val="000000" w:themeColor="text1"/>
          <w:sz w:val="32"/>
          <w:szCs w:val="32"/>
          <w:lang w:eastAsia="zh-CN"/>
          <w14:textFill>
            <w14:solidFill>
              <w14:schemeClr w14:val="tx1"/>
            </w14:solidFill>
          </w14:textFill>
        </w:rPr>
        <w:t>印发</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&lt;</w:t>
      </w:r>
      <w:r>
        <w:rPr>
          <w:rFonts w:hint="eastAsia" w:ascii="仿宋_GB2312" w:hAnsi="仿宋_GB2312" w:eastAsia="仿宋_GB2312" w:cs="仿宋_GB2312"/>
          <w:color w:val="000000" w:themeColor="text1"/>
          <w:sz w:val="32"/>
          <w:szCs w:val="32"/>
          <w:lang w:eastAsia="zh-CN"/>
          <w14:textFill>
            <w14:solidFill>
              <w14:schemeClr w14:val="tx1"/>
            </w14:solidFill>
          </w14:textFill>
        </w:rPr>
        <w:t>通辽市202</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4</w:t>
      </w:r>
      <w:r>
        <w:rPr>
          <w:rFonts w:hint="eastAsia" w:ascii="仿宋_GB2312" w:hAnsi="仿宋_GB2312" w:eastAsia="仿宋_GB2312" w:cs="仿宋_GB2312"/>
          <w:color w:val="000000" w:themeColor="text1"/>
          <w:sz w:val="32"/>
          <w:szCs w:val="32"/>
          <w:lang w:eastAsia="zh-CN"/>
          <w14:textFill>
            <w14:solidFill>
              <w14:schemeClr w14:val="tx1"/>
            </w14:solidFill>
          </w14:textFill>
        </w:rPr>
        <w:t>年基层农技推广体系改革与建设任务实施方案</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&gt;</w:t>
      </w:r>
      <w:r>
        <w:rPr>
          <w:rFonts w:hint="eastAsia" w:ascii="仿宋_GB2312" w:hAnsi="仿宋_GB2312" w:eastAsia="仿宋_GB2312" w:cs="仿宋_GB2312"/>
          <w:color w:val="000000" w:themeColor="text1"/>
          <w:sz w:val="32"/>
          <w:szCs w:val="32"/>
          <w14:textFill>
            <w14:solidFill>
              <w14:schemeClr w14:val="tx1"/>
            </w14:solidFill>
          </w14:textFill>
        </w:rPr>
        <w:t>的</w:t>
      </w:r>
      <w:r>
        <w:rPr>
          <w:rFonts w:hint="eastAsia" w:ascii="仿宋_GB2312" w:hAnsi="仿宋_GB2312" w:eastAsia="仿宋_GB2312" w:cs="仿宋_GB2312"/>
          <w:color w:val="000000" w:themeColor="text1"/>
          <w:sz w:val="32"/>
          <w:szCs w:val="32"/>
          <w:lang w:eastAsia="zh-CN"/>
          <w14:textFill>
            <w14:solidFill>
              <w14:schemeClr w14:val="tx1"/>
            </w14:solidFill>
          </w14:textFill>
        </w:rPr>
        <w:t>通知》（</w:t>
      </w:r>
      <w:r>
        <w:rPr>
          <w:rFonts w:hint="eastAsia" w:ascii="仿宋_GB2312" w:hAnsi="仿宋_GB2312" w:eastAsia="仿宋_GB2312" w:cs="仿宋_GB2312"/>
          <w:b w:val="0"/>
          <w:bCs w:val="0"/>
          <w:color w:val="auto"/>
          <w:sz w:val="32"/>
          <w:highlight w:val="none"/>
        </w:rPr>
        <w:t>通农牧发〔202</w:t>
      </w:r>
      <w:r>
        <w:rPr>
          <w:rFonts w:hint="eastAsia" w:ascii="仿宋_GB2312" w:hAnsi="仿宋_GB2312" w:eastAsia="仿宋_GB2312" w:cs="仿宋_GB2312"/>
          <w:b w:val="0"/>
          <w:bCs w:val="0"/>
          <w:color w:val="auto"/>
          <w:sz w:val="32"/>
          <w:highlight w:val="none"/>
          <w:lang w:val="en-US" w:eastAsia="zh-CN"/>
        </w:rPr>
        <w:t>4</w:t>
      </w:r>
      <w:r>
        <w:rPr>
          <w:rFonts w:hint="eastAsia" w:ascii="仿宋_GB2312" w:hAnsi="仿宋_GB2312" w:eastAsia="仿宋_GB2312" w:cs="仿宋_GB2312"/>
          <w:b w:val="0"/>
          <w:bCs w:val="0"/>
          <w:color w:val="auto"/>
          <w:sz w:val="32"/>
          <w:highlight w:val="none"/>
        </w:rPr>
        <w:t>〕</w:t>
      </w:r>
      <w:r>
        <w:rPr>
          <w:rFonts w:hint="eastAsia" w:ascii="仿宋_GB2312" w:hAnsi="仿宋_GB2312" w:eastAsia="仿宋_GB2312" w:cs="仿宋_GB2312"/>
          <w:b w:val="0"/>
          <w:bCs w:val="0"/>
          <w:color w:val="auto"/>
          <w:sz w:val="32"/>
          <w:highlight w:val="none"/>
          <w:lang w:val="en-US" w:eastAsia="zh-CN"/>
        </w:rPr>
        <w:t>198</w:t>
      </w:r>
      <w:r>
        <w:rPr>
          <w:rFonts w:hint="eastAsia" w:ascii="仿宋_GB2312" w:hAnsi="仿宋_GB2312" w:eastAsia="仿宋_GB2312" w:cs="仿宋_GB2312"/>
          <w:b w:val="0"/>
          <w:bCs w:val="0"/>
          <w:color w:val="auto"/>
          <w:sz w:val="32"/>
          <w:highlight w:val="none"/>
        </w:rPr>
        <w:t>号</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文件要求，结合</w:t>
      </w:r>
      <w:r>
        <w:rPr>
          <w:rFonts w:hint="eastAsia" w:ascii="仿宋_GB2312" w:hAnsi="仿宋_GB2312" w:eastAsia="仿宋_GB2312" w:cs="仿宋_GB2312"/>
          <w:color w:val="000000" w:themeColor="text1"/>
          <w:sz w:val="32"/>
          <w:szCs w:val="32"/>
          <w:lang w:eastAsia="zh-CN"/>
          <w14:textFill>
            <w14:solidFill>
              <w14:schemeClr w14:val="tx1"/>
            </w14:solidFill>
          </w14:textFill>
        </w:rPr>
        <w:t>我旗</w:t>
      </w:r>
      <w:r>
        <w:rPr>
          <w:rFonts w:hint="eastAsia" w:ascii="仿宋_GB2312" w:hAnsi="仿宋_GB2312" w:eastAsia="仿宋_GB2312" w:cs="仿宋_GB2312"/>
          <w:color w:val="000000" w:themeColor="text1"/>
          <w:sz w:val="32"/>
          <w:szCs w:val="32"/>
          <w14:textFill>
            <w14:solidFill>
              <w14:schemeClr w14:val="tx1"/>
            </w14:solidFill>
          </w14:textFill>
        </w:rPr>
        <w:t>实际，制定</w:t>
      </w:r>
      <w:r>
        <w:rPr>
          <w:rFonts w:hint="eastAsia" w:ascii="仿宋_GB2312" w:hAnsi="仿宋_GB2312" w:eastAsia="仿宋_GB2312" w:cs="仿宋_GB2312"/>
          <w:color w:val="000000" w:themeColor="text1"/>
          <w:sz w:val="32"/>
          <w:szCs w:val="32"/>
          <w:lang w:eastAsia="zh-CN"/>
          <w14:textFill>
            <w14:solidFill>
              <w14:schemeClr w14:val="tx1"/>
            </w14:solidFill>
          </w14:textFill>
        </w:rPr>
        <w:t>本</w:t>
      </w:r>
      <w:r>
        <w:rPr>
          <w:rFonts w:hint="eastAsia" w:ascii="仿宋_GB2312" w:hAnsi="仿宋_GB2312" w:eastAsia="仿宋_GB2312" w:cs="仿宋_GB2312"/>
          <w:color w:val="000000" w:themeColor="text1"/>
          <w:sz w:val="32"/>
          <w:szCs w:val="32"/>
          <w14:textFill>
            <w14:solidFill>
              <w14:schemeClr w14:val="tx1"/>
            </w14:solidFill>
          </w14:textFill>
        </w:rPr>
        <w:t>方案。</w:t>
      </w:r>
    </w:p>
    <w:p w14:paraId="52FF48B7">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rPr>
          <w:rFonts w:hint="eastAsia" w:ascii="Times New Roman" w:hAnsi="Times New Roman" w:eastAsia="黑体" w:cs="Times New Roman"/>
          <w:color w:val="000000" w:themeColor="text1"/>
          <w:sz w:val="32"/>
          <w:szCs w:val="32"/>
          <w:lang w:val="en-US" w:eastAsia="zh-CN"/>
          <w14:textFill>
            <w14:solidFill>
              <w14:schemeClr w14:val="tx1"/>
            </w14:solidFill>
          </w14:textFill>
        </w:rPr>
      </w:pPr>
      <w:r>
        <w:rPr>
          <w:rFonts w:hint="default" w:ascii="Times New Roman" w:hAnsi="Times New Roman" w:eastAsia="黑体" w:cs="Times New Roman"/>
          <w:color w:val="000000" w:themeColor="text1"/>
          <w:sz w:val="32"/>
          <w:szCs w:val="32"/>
          <w14:textFill>
            <w14:solidFill>
              <w14:schemeClr w14:val="tx1"/>
            </w14:solidFill>
          </w14:textFill>
        </w:rPr>
        <w:t>一、总体思路</w:t>
      </w:r>
      <w:r>
        <w:rPr>
          <w:rFonts w:hint="eastAsia" w:ascii="Times New Roman" w:hAnsi="Times New Roman" w:eastAsia="黑体" w:cs="Times New Roman"/>
          <w:color w:val="000000" w:themeColor="text1"/>
          <w:sz w:val="32"/>
          <w:szCs w:val="32"/>
          <w:lang w:val="en-US" w:eastAsia="zh-CN"/>
          <w14:textFill>
            <w14:solidFill>
              <w14:schemeClr w14:val="tx1"/>
            </w14:solidFill>
          </w14:textFill>
        </w:rPr>
        <w:t xml:space="preserve"> </w:t>
      </w:r>
    </w:p>
    <w:p w14:paraId="7BDB2DD2">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t>深入落实习近平总书记关于“基层农技推广体系要稳定队伍、提升素质、回归主业，强化公益性服务功能”重要指示，以中华民族共同体意识为主线，围绕保障粮食安全、粮油等主要作物单产提升和建设国家农畜产品生产基地任务，组织引导基层农技推广体系履行好促转化、推技术、做示范等公益性职能，强化基层农技推广体系条件建设。引导支持农业科技社会化服务组织规范发展,创新技术推广服务方式方法，集成配套先进技术模式，推广高产优质品种和先进适用技术模式,提升农技推广服务效能。支持现代农牧业产业园区建设，探索创建农牧业科技服务综合体，促进农牧业科技成果转化应用。鼓励推动“全程机械化+综合农事”服务中心能力水平提升，为全面推进乡村振兴、加快农业农村现代化提供科技支撑和人才保障。</w:t>
      </w:r>
    </w:p>
    <w:p w14:paraId="1A8FB6B8">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jc w:val="both"/>
        <w:textAlignment w:val="auto"/>
        <w:rPr>
          <w:rFonts w:hint="eastAsia" w:ascii="Times New Roman" w:hAnsi="Times New Roman" w:eastAsia="黑体" w:cs="Times New Roman"/>
          <w:color w:val="000000" w:themeColor="text1"/>
          <w:sz w:val="32"/>
          <w:szCs w:val="32"/>
          <w:lang w:eastAsia="zh-CN"/>
          <w14:textFill>
            <w14:solidFill>
              <w14:schemeClr w14:val="tx1"/>
            </w14:solidFill>
          </w14:textFill>
        </w:rPr>
      </w:pPr>
      <w:r>
        <w:rPr>
          <w:rFonts w:hint="eastAsia" w:ascii="Times New Roman" w:hAnsi="Times New Roman" w:eastAsia="黑体" w:cs="Times New Roman"/>
          <w:color w:val="000000" w:themeColor="text1"/>
          <w:sz w:val="32"/>
          <w:szCs w:val="32"/>
          <w:lang w:eastAsia="zh-CN"/>
          <w14:textFill>
            <w14:solidFill>
              <w14:schemeClr w14:val="tx1"/>
            </w14:solidFill>
          </w14:textFill>
        </w:rPr>
        <w:t>二</w:t>
      </w:r>
      <w:r>
        <w:rPr>
          <w:rFonts w:hint="default" w:ascii="Times New Roman" w:hAnsi="Times New Roman" w:eastAsia="黑体" w:cs="Times New Roman"/>
          <w:color w:val="000000" w:themeColor="text1"/>
          <w:sz w:val="32"/>
          <w:szCs w:val="32"/>
          <w14:textFill>
            <w14:solidFill>
              <w14:schemeClr w14:val="tx1"/>
            </w14:solidFill>
          </w14:textFill>
        </w:rPr>
        <w:t>、</w:t>
      </w:r>
      <w:r>
        <w:rPr>
          <w:rFonts w:hint="eastAsia" w:ascii="Times New Roman" w:hAnsi="Times New Roman" w:eastAsia="黑体" w:cs="Times New Roman"/>
          <w:color w:val="000000" w:themeColor="text1"/>
          <w:sz w:val="32"/>
          <w:szCs w:val="32"/>
          <w:lang w:val="en-US" w:eastAsia="zh-CN"/>
          <w14:textFill>
            <w14:solidFill>
              <w14:schemeClr w14:val="tx1"/>
            </w14:solidFill>
          </w14:textFill>
        </w:rPr>
        <w:t>任务目标</w:t>
      </w:r>
    </w:p>
    <w:p w14:paraId="46774411">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t>（一）基层农技推广机构人员在岗率超过90%，每个基层农技人员指导服务农牧业</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t>不少于3个，对每个农牧业</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t>上门指导服务次数不少于5次，进村入户开展指导服务时间不少于100个工作日；农牧业</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t>抽样满意度超过95%，农牧业技术推广公共服务对象抽样满意度超过70%。</w:t>
      </w:r>
    </w:p>
    <w:p w14:paraId="03EAA686">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t>（二）遴选、发布、推广</w:t>
      </w:r>
      <w:r>
        <w:rPr>
          <w:rFonts w:hint="eastAsia" w:ascii="仿宋_GB2312" w:hAnsi="仿宋_GB2312" w:eastAsia="仿宋_GB2312" w:cs="仿宋_GB2312"/>
          <w:color w:val="000000" w:themeColor="text1"/>
          <w:kern w:val="0"/>
          <w:sz w:val="32"/>
          <w:szCs w:val="32"/>
          <w:highlight w:val="none"/>
          <w:shd w:val="clear"/>
          <w:lang w:val="en-US" w:eastAsia="zh-CN" w:bidi="ar-SA"/>
          <w14:textFill>
            <w14:solidFill>
              <w14:schemeClr w14:val="tx1"/>
            </w14:solidFill>
          </w14:textFill>
        </w:rPr>
        <w:t>3个</w:t>
      </w:r>
      <w:r>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t>符合本地区主导特色产业发展需求，质量安全、节本增效、生态环保的优质绿色高效技术，广泛应用于农牧业生产，农牧业主推技术到位率超过95%。</w:t>
      </w:r>
    </w:p>
    <w:p w14:paraId="36D1A95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t>（三）建设14个农牧业</w:t>
      </w:r>
      <w:r>
        <w:rPr>
          <w:rFonts w:hint="eastAsia" w:ascii="Times New Roman" w:hAnsi="Times New Roman" w:eastAsia="仿宋_GB2312" w:cs="Times New Roman"/>
          <w:kern w:val="2"/>
          <w:sz w:val="32"/>
          <w:szCs w:val="32"/>
          <w:lang w:val="en-US" w:eastAsia="zh-CN" w:bidi="ar-SA"/>
        </w:rPr>
        <w:t>科技展示场所</w:t>
      </w:r>
      <w:r>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t>，其中2个长期稳定的农牧业</w:t>
      </w:r>
      <w:r>
        <w:rPr>
          <w:rFonts w:hint="eastAsia" w:ascii="Times New Roman" w:hAnsi="Times New Roman" w:eastAsia="仿宋_GB2312" w:cs="Times New Roman"/>
          <w:kern w:val="2"/>
          <w:sz w:val="32"/>
          <w:szCs w:val="32"/>
          <w:lang w:val="en-US" w:eastAsia="zh-CN" w:bidi="ar-SA"/>
        </w:rPr>
        <w:t>科技展示场所</w:t>
      </w:r>
      <w:r>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t>，每个场所</w:t>
      </w:r>
      <w:r>
        <w:rPr>
          <w:rFonts w:hint="eastAsia" w:ascii="仿宋_GB2312" w:hAnsi="仿宋_GB2312" w:eastAsia="仿宋_GB2312" w:cs="仿宋_GB2312"/>
          <w:color w:val="000000" w:themeColor="text1"/>
          <w:kern w:val="0"/>
          <w:sz w:val="32"/>
          <w:szCs w:val="32"/>
          <w:highlight w:val="none"/>
          <w:shd w:val="clear"/>
          <w:lang w:val="en-US" w:eastAsia="zh-CN" w:bidi="ar-SA"/>
          <w14:textFill>
            <w14:solidFill>
              <w14:schemeClr w14:val="tx1"/>
            </w14:solidFill>
          </w14:textFill>
        </w:rPr>
        <w:t>试验展示</w:t>
      </w:r>
      <w:r>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t>2项以上先进适用技术，辐射带动全旗全面推进农牧业绿色高质高效技术应用，确保全旗农业主推技术到位率超过95%。开展5次以上观摩培训活动，使其成为集示范展示、技术指导、农牧民培训等多功能、综合性的农业技术示范服务平台。</w:t>
      </w:r>
    </w:p>
    <w:p w14:paraId="77C060A3">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t>（四）全旗农技人员普遍应用信息化手段进行学习交流、业务指导及考核。使用中国农技推广APP比例达到90%，农技人员通过信息化手段，开展农技推广服务的比例超过80%。实现技术服务网络化、推广服务信息化、绩效考核平台化。</w:t>
      </w:r>
    </w:p>
    <w:p w14:paraId="4A779FF3">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t>（五）提升全旗农技推广队伍和农技人员业务能力，编制内农技人员接受连续5天以上的脱产业务培训120人。其中,异地培训(出旗县)人数113人。</w:t>
      </w:r>
    </w:p>
    <w:p w14:paraId="6C0A9C3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t>（六）实施特聘任务，全旗特聘15名知识全面、技能过硬、服务优良、热爱农村、助力乡村振兴农技员骨干人才。</w:t>
      </w:r>
    </w:p>
    <w:p w14:paraId="40A4FEE0">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Times New Roman" w:hAnsi="Times New Roman" w:eastAsia="黑体" w:cs="Times New Roman"/>
          <w:color w:val="000000" w:themeColor="text1"/>
          <w:sz w:val="32"/>
          <w:szCs w:val="32"/>
          <w:lang w:val="en-US" w:eastAsia="zh-CN"/>
          <w14:textFill>
            <w14:solidFill>
              <w14:schemeClr w14:val="tx1"/>
            </w14:solidFill>
          </w14:textFill>
        </w:rPr>
      </w:pPr>
      <w:r>
        <w:rPr>
          <w:rFonts w:hint="eastAsia" w:ascii="Times New Roman" w:hAnsi="Times New Roman" w:eastAsia="黑体" w:cs="Times New Roman"/>
          <w:color w:val="000000" w:themeColor="text1"/>
          <w:sz w:val="32"/>
          <w:szCs w:val="32"/>
          <w:lang w:eastAsia="zh-CN"/>
          <w14:textFill>
            <w14:solidFill>
              <w14:schemeClr w14:val="tx1"/>
            </w14:solidFill>
          </w14:textFill>
        </w:rPr>
        <w:t>三</w:t>
      </w:r>
      <w:r>
        <w:rPr>
          <w:rFonts w:hint="default" w:ascii="Times New Roman" w:hAnsi="Times New Roman" w:eastAsia="黑体" w:cs="Times New Roman"/>
          <w:color w:val="000000" w:themeColor="text1"/>
          <w:sz w:val="32"/>
          <w:szCs w:val="32"/>
          <w14:textFill>
            <w14:solidFill>
              <w14:schemeClr w14:val="tx1"/>
            </w14:solidFill>
          </w14:textFill>
        </w:rPr>
        <w:t>、</w:t>
      </w:r>
      <w:r>
        <w:rPr>
          <w:rFonts w:hint="eastAsia" w:ascii="Times New Roman" w:hAnsi="Times New Roman" w:eastAsia="黑体" w:cs="Times New Roman"/>
          <w:color w:val="000000" w:themeColor="text1"/>
          <w:sz w:val="32"/>
          <w:szCs w:val="32"/>
          <w:lang w:val="en-US" w:eastAsia="zh-CN"/>
          <w14:textFill>
            <w14:solidFill>
              <w14:schemeClr w14:val="tx1"/>
            </w14:solidFill>
          </w14:textFill>
        </w:rPr>
        <w:t>建设内容</w:t>
      </w:r>
    </w:p>
    <w:p w14:paraId="52AD43C5">
      <w:pPr>
        <w:keepNext w:val="0"/>
        <w:keepLines w:val="0"/>
        <w:pageBreakBefore w:val="0"/>
        <w:widowControl w:val="0"/>
        <w:kinsoku/>
        <w:wordWrap/>
        <w:overflowPunct/>
        <w:topLinePunct w:val="0"/>
        <w:autoSpaceDE/>
        <w:autoSpaceDN/>
        <w:bidi w:val="0"/>
        <w:adjustRightInd/>
        <w:snapToGrid/>
        <w:spacing w:line="520" w:lineRule="exact"/>
        <w:ind w:firstLine="643" w:firstLineChars="200"/>
        <w:jc w:val="both"/>
        <w:textAlignment w:val="auto"/>
        <w:rPr>
          <w:rFonts w:hint="eastAsia" w:ascii="楷体_GB2312" w:hAnsi="楷体_GB2312" w:eastAsia="楷体_GB2312" w:cs="楷体_GB2312"/>
          <w:b/>
          <w:bCs/>
          <w:sz w:val="32"/>
          <w:szCs w:val="32"/>
          <w:lang w:eastAsia="zh-CN"/>
        </w:rPr>
      </w:pPr>
      <w:r>
        <w:rPr>
          <w:rFonts w:hint="eastAsia" w:ascii="楷体_GB2312" w:hAnsi="楷体_GB2312" w:eastAsia="楷体_GB2312" w:cs="楷体_GB2312"/>
          <w:b/>
          <w:bCs/>
          <w:color w:val="000000" w:themeColor="text1"/>
          <w:sz w:val="32"/>
          <w:szCs w:val="32"/>
          <w:lang w:val="en-US" w:eastAsia="zh-CN"/>
          <w14:textFill>
            <w14:solidFill>
              <w14:schemeClr w14:val="tx1"/>
            </w14:solidFill>
          </w14:textFill>
        </w:rPr>
        <w:t>（一）</w:t>
      </w:r>
      <w:r>
        <w:rPr>
          <w:rFonts w:hint="eastAsia" w:ascii="楷体_GB2312" w:hAnsi="楷体_GB2312" w:eastAsia="楷体_GB2312" w:cs="楷体_GB2312"/>
          <w:b/>
          <w:bCs/>
          <w:sz w:val="32"/>
          <w:szCs w:val="32"/>
          <w:lang w:eastAsia="zh-CN"/>
        </w:rPr>
        <w:t>农业</w:t>
      </w:r>
      <w:r>
        <w:rPr>
          <w:rFonts w:hint="eastAsia" w:ascii="楷体_GB2312" w:hAnsi="楷体_GB2312" w:eastAsia="楷体_GB2312" w:cs="楷体_GB2312"/>
          <w:b/>
          <w:bCs/>
          <w:sz w:val="32"/>
          <w:szCs w:val="32"/>
        </w:rPr>
        <w:t>技术推广服务</w:t>
      </w:r>
      <w:r>
        <w:rPr>
          <w:rFonts w:hint="eastAsia" w:ascii="楷体_GB2312" w:hAnsi="楷体_GB2312" w:eastAsia="楷体_GB2312" w:cs="楷体_GB2312"/>
          <w:b/>
          <w:bCs/>
          <w:sz w:val="32"/>
          <w:szCs w:val="32"/>
          <w:lang w:eastAsia="zh-CN"/>
        </w:rPr>
        <w:t>建设</w:t>
      </w:r>
    </w:p>
    <w:p w14:paraId="3BA93B41">
      <w:pPr>
        <w:keepNext w:val="0"/>
        <w:keepLines w:val="0"/>
        <w:pageBreakBefore w:val="0"/>
        <w:widowControl w:val="0"/>
        <w:kinsoku/>
        <w:wordWrap/>
        <w:overflowPunct/>
        <w:topLinePunct w:val="0"/>
        <w:autoSpaceDE/>
        <w:autoSpaceDN/>
        <w:bidi w:val="0"/>
        <w:adjustRightInd/>
        <w:snapToGrid/>
        <w:spacing w:line="520" w:lineRule="exact"/>
        <w:ind w:firstLine="643" w:firstLineChars="200"/>
        <w:jc w:val="both"/>
        <w:textAlignment w:val="auto"/>
        <w:rPr>
          <w:rFonts w:hint="eastAsia" w:ascii="仿宋_GB2312" w:hAnsi="仿宋_GB2312" w:eastAsia="仿宋_GB2312" w:cs="仿宋_GB2312"/>
          <w:b/>
          <w:bCs/>
          <w:sz w:val="32"/>
          <w:szCs w:val="32"/>
          <w:highlight w:val="none"/>
          <w:lang w:val="en-US" w:eastAsia="zh-CN"/>
        </w:rPr>
      </w:pPr>
      <w:r>
        <w:rPr>
          <w:rFonts w:hint="eastAsia" w:ascii="仿宋_GB2312" w:hAnsi="仿宋_GB2312" w:eastAsia="仿宋_GB2312" w:cs="仿宋_GB2312"/>
          <w:b/>
          <w:bCs/>
          <w:sz w:val="32"/>
          <w:szCs w:val="32"/>
          <w:highlight w:val="none"/>
          <w:lang w:val="en-US" w:eastAsia="zh-CN"/>
        </w:rPr>
        <w:t>1.选聘技术指导员</w:t>
      </w:r>
    </w:p>
    <w:p w14:paraId="119C8FEE">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根据主导产业需求，选聘50名技术指导员，其中种植业25名，畜牧业25名。根据优势特色产业发展需求，通过个人申请、单位推荐、旗级确定的程序进行选聘。根据绩效考评结果对技术指导实行动态管理、不合格即时淘汰。由旗农牧和科技局与技术指导员签订聘用协议，明确职能职责。通过包村联户，每名技术员指导4户</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b w:val="0"/>
          <w:bCs w:val="0"/>
          <w:sz w:val="32"/>
          <w:szCs w:val="32"/>
          <w:highlight w:val="none"/>
          <w:lang w:val="en-US" w:eastAsia="zh-CN"/>
        </w:rPr>
        <w:t>，开展技术培训指导服务。采取集中培训、分户指导、观摩交流等方式，指导示范主体带动推广应用无膜浅埋滴灌水肥一体化、绿色标准化栽培技术、绿色综合防治技术、肉牛肉羊标准化生产等技术，提升展示主体科学种养水平，提高其辐射带动能力。</w:t>
      </w:r>
    </w:p>
    <w:p w14:paraId="1C561F24">
      <w:pPr>
        <w:keepNext w:val="0"/>
        <w:keepLines w:val="0"/>
        <w:pageBreakBefore w:val="0"/>
        <w:widowControl w:val="0"/>
        <w:kinsoku/>
        <w:wordWrap/>
        <w:overflowPunct/>
        <w:topLinePunct w:val="0"/>
        <w:autoSpaceDE/>
        <w:autoSpaceDN/>
        <w:bidi w:val="0"/>
        <w:adjustRightInd/>
        <w:snapToGrid/>
        <w:spacing w:line="520" w:lineRule="exact"/>
        <w:ind w:firstLine="643" w:firstLineChars="200"/>
        <w:jc w:val="both"/>
        <w:textAlignment w:val="auto"/>
        <w:rPr>
          <w:rFonts w:hint="eastAsia" w:ascii="仿宋_GB2312" w:hAnsi="仿宋_GB2312" w:eastAsia="仿宋_GB2312" w:cs="仿宋_GB2312"/>
          <w:b/>
          <w:bCs/>
          <w:sz w:val="32"/>
          <w:szCs w:val="32"/>
          <w:highlight w:val="none"/>
          <w:lang w:val="en-US" w:eastAsia="zh-CN"/>
        </w:rPr>
      </w:pPr>
      <w:r>
        <w:rPr>
          <w:rFonts w:hint="eastAsia" w:ascii="仿宋_GB2312" w:hAnsi="仿宋_GB2312" w:eastAsia="仿宋_GB2312" w:cs="仿宋_GB2312"/>
          <w:b/>
          <w:bCs/>
          <w:sz w:val="32"/>
          <w:szCs w:val="32"/>
          <w:highlight w:val="none"/>
          <w:lang w:val="en-US" w:eastAsia="zh-CN"/>
        </w:rPr>
        <w:t>2.实施农技推广服务特聘计划</w:t>
      </w:r>
    </w:p>
    <w:p w14:paraId="5BAB73E2">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完善农技推广服务特聘计划程序，今年招录15名特聘农技术员，重点围绕全旗现代农牧业发展需要，对种养植新技术推广指导服务进行招募。按照个人申请、乡镇推荐、旗级确定、公示等程序签订特聘协议，进一步明确职能职责，使他们能够进村入户，有针对性地对生产技术、产业振兴等开展农技指导、咨询服务和政策宣传。利用中国农技推广信息平台，通过线上线下协同方式，对特聘农技员、履行服务情况进行在线动态管理。对15名特聘农技人员开展岗前技术培训，围绕奈曼旗现代农牧业发展需要，重点培训农牧业新品种、新技术。</w:t>
      </w:r>
    </w:p>
    <w:p w14:paraId="2192B3BF">
      <w:pPr>
        <w:keepNext w:val="0"/>
        <w:keepLines w:val="0"/>
        <w:pageBreakBefore w:val="0"/>
        <w:widowControl w:val="0"/>
        <w:kinsoku/>
        <w:wordWrap/>
        <w:overflowPunct/>
        <w:topLinePunct w:val="0"/>
        <w:autoSpaceDE/>
        <w:autoSpaceDN/>
        <w:bidi w:val="0"/>
        <w:adjustRightInd/>
        <w:snapToGrid/>
        <w:spacing w:line="520" w:lineRule="exact"/>
        <w:ind w:firstLine="643" w:firstLineChars="200"/>
        <w:jc w:val="both"/>
        <w:textAlignment w:val="auto"/>
        <w:rPr>
          <w:rFonts w:hint="eastAsia" w:ascii="楷体_GB2312" w:hAnsi="楷体_GB2312" w:eastAsia="楷体_GB2312" w:cs="楷体_GB2312"/>
          <w:b/>
          <w:bCs/>
          <w:sz w:val="32"/>
          <w:szCs w:val="32"/>
          <w:highlight w:val="none"/>
          <w:lang w:eastAsia="zh-CN"/>
        </w:rPr>
      </w:pPr>
      <w:r>
        <w:rPr>
          <w:rFonts w:hint="eastAsia" w:ascii="楷体_GB2312" w:hAnsi="楷体_GB2312" w:eastAsia="楷体_GB2312" w:cs="楷体_GB2312"/>
          <w:b/>
          <w:color w:val="000000" w:themeColor="text1"/>
          <w:sz w:val="32"/>
          <w:szCs w:val="32"/>
          <w14:textFill>
            <w14:solidFill>
              <w14:schemeClr w14:val="tx1"/>
            </w14:solidFill>
          </w14:textFill>
        </w:rPr>
        <w:t>（</w:t>
      </w:r>
      <w:r>
        <w:rPr>
          <w:rFonts w:hint="eastAsia" w:ascii="楷体_GB2312" w:hAnsi="楷体_GB2312" w:eastAsia="楷体_GB2312" w:cs="楷体_GB2312"/>
          <w:b/>
          <w:color w:val="000000" w:themeColor="text1"/>
          <w:sz w:val="32"/>
          <w:szCs w:val="32"/>
          <w:lang w:eastAsia="zh-CN"/>
          <w14:textFill>
            <w14:solidFill>
              <w14:schemeClr w14:val="tx1"/>
            </w14:solidFill>
          </w14:textFill>
        </w:rPr>
        <w:t>二</w:t>
      </w:r>
      <w:r>
        <w:rPr>
          <w:rFonts w:hint="eastAsia" w:ascii="楷体_GB2312" w:hAnsi="楷体_GB2312" w:eastAsia="楷体_GB2312" w:cs="楷体_GB2312"/>
          <w:b/>
          <w:color w:val="000000" w:themeColor="text1"/>
          <w:sz w:val="32"/>
          <w:szCs w:val="32"/>
          <w14:textFill>
            <w14:solidFill>
              <w14:schemeClr w14:val="tx1"/>
            </w14:solidFill>
          </w14:textFill>
        </w:rPr>
        <w:t>）</w:t>
      </w:r>
      <w:r>
        <w:rPr>
          <w:rFonts w:hint="eastAsia" w:ascii="楷体_GB2312" w:hAnsi="楷体_GB2312" w:eastAsia="楷体_GB2312" w:cs="楷体_GB2312"/>
          <w:b/>
          <w:bCs/>
          <w:sz w:val="32"/>
          <w:szCs w:val="32"/>
        </w:rPr>
        <w:t>农牧</w:t>
      </w:r>
      <w:r>
        <w:rPr>
          <w:rFonts w:hint="eastAsia" w:ascii="楷体_GB2312" w:hAnsi="楷体_GB2312" w:eastAsia="楷体_GB2312" w:cs="楷体_GB2312"/>
          <w:b/>
          <w:bCs/>
          <w:sz w:val="32"/>
          <w:szCs w:val="32"/>
          <w:highlight w:val="none"/>
        </w:rPr>
        <w:t>业科技</w:t>
      </w:r>
      <w:r>
        <w:rPr>
          <w:rFonts w:hint="eastAsia" w:ascii="楷体_GB2312" w:hAnsi="楷体_GB2312" w:eastAsia="楷体_GB2312" w:cs="楷体_GB2312"/>
          <w:b/>
          <w:bCs/>
          <w:sz w:val="32"/>
          <w:szCs w:val="32"/>
          <w:highlight w:val="none"/>
          <w:lang w:val="en-US" w:eastAsia="zh-CN"/>
        </w:rPr>
        <w:t>展示</w:t>
      </w:r>
      <w:r>
        <w:rPr>
          <w:rFonts w:hint="eastAsia" w:ascii="楷体_GB2312" w:hAnsi="楷体_GB2312" w:eastAsia="楷体_GB2312" w:cs="楷体_GB2312"/>
          <w:b/>
          <w:bCs/>
          <w:sz w:val="32"/>
          <w:szCs w:val="32"/>
          <w:highlight w:val="none"/>
          <w:lang w:eastAsia="zh-CN"/>
        </w:rPr>
        <w:t>建设</w:t>
      </w:r>
    </w:p>
    <w:p w14:paraId="19AAB35F">
      <w:pPr>
        <w:keepNext w:val="0"/>
        <w:keepLines w:val="0"/>
        <w:pageBreakBefore w:val="0"/>
        <w:widowControl w:val="0"/>
        <w:kinsoku/>
        <w:wordWrap/>
        <w:overflowPunct/>
        <w:topLinePunct w:val="0"/>
        <w:autoSpaceDE/>
        <w:autoSpaceDN/>
        <w:bidi w:val="0"/>
        <w:adjustRightInd/>
        <w:snapToGrid/>
        <w:spacing w:line="520" w:lineRule="exact"/>
        <w:ind w:firstLine="643" w:firstLineChars="200"/>
        <w:jc w:val="both"/>
        <w:textAlignment w:val="auto"/>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z w:val="32"/>
          <w:szCs w:val="32"/>
          <w14:textFill>
            <w14:solidFill>
              <w14:schemeClr w14:val="tx1"/>
            </w14:solidFill>
          </w14:textFill>
        </w:rPr>
        <w:t>1</w:t>
      </w: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.场所</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建设</w:t>
      </w:r>
    </w:p>
    <w:p w14:paraId="5F607D3D">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24</w:t>
      </w:r>
      <w:r>
        <w:rPr>
          <w:rFonts w:hint="eastAsia" w:ascii="仿宋_GB2312" w:hAnsi="仿宋_GB2312" w:eastAsia="仿宋_GB2312" w:cs="仿宋_GB2312"/>
          <w:sz w:val="32"/>
          <w:szCs w:val="32"/>
        </w:rPr>
        <w:t>年重点建设</w:t>
      </w:r>
      <w:r>
        <w:rPr>
          <w:rFonts w:hint="eastAsia" w:ascii="仿宋_GB2312" w:hAnsi="仿宋_GB2312" w:eastAsia="仿宋_GB2312" w:cs="仿宋_GB2312"/>
          <w:sz w:val="32"/>
          <w:szCs w:val="32"/>
          <w:lang w:val="en-US" w:eastAsia="zh-CN"/>
        </w:rPr>
        <w:t>14</w:t>
      </w:r>
      <w:r>
        <w:rPr>
          <w:rFonts w:hint="eastAsia" w:ascii="仿宋_GB2312" w:hAnsi="仿宋_GB2312" w:eastAsia="仿宋_GB2312" w:cs="仿宋_GB2312"/>
          <w:sz w:val="32"/>
          <w:szCs w:val="32"/>
        </w:rPr>
        <w:t>个</w:t>
      </w:r>
      <w:r>
        <w:rPr>
          <w:rFonts w:hint="eastAsia" w:ascii="仿宋_GB2312" w:hAnsi="仿宋_GB2312" w:eastAsia="仿宋_GB2312" w:cs="仿宋_GB2312"/>
          <w:sz w:val="32"/>
          <w:szCs w:val="32"/>
          <w:highlight w:val="none"/>
        </w:rPr>
        <w:t>试验</w:t>
      </w:r>
      <w:r>
        <w:rPr>
          <w:rFonts w:hint="eastAsia" w:ascii="仿宋_GB2312" w:hAnsi="仿宋_GB2312" w:eastAsia="仿宋_GB2312" w:cs="仿宋_GB2312"/>
          <w:sz w:val="32"/>
          <w:szCs w:val="32"/>
          <w:highlight w:val="none"/>
          <w:lang w:val="en-US" w:eastAsia="zh-CN"/>
        </w:rPr>
        <w:t>展示场所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具体为：</w:t>
      </w:r>
    </w:p>
    <w:p w14:paraId="6EBF9B0C">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723" w:firstLineChars="200"/>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pacing w:val="20"/>
          <w:sz w:val="32"/>
          <w:szCs w:val="32"/>
          <w:highlight w:val="none"/>
          <w:lang w:val="en-US" w:eastAsia="zh-CN"/>
        </w:rPr>
        <w:t>（1）</w:t>
      </w:r>
      <w:r>
        <w:rPr>
          <w:rFonts w:hint="eastAsia" w:ascii="仿宋_GB2312" w:hAnsi="仿宋_GB2312" w:eastAsia="仿宋_GB2312" w:cs="仿宋_GB2312"/>
          <w:b/>
          <w:bCs/>
          <w:sz w:val="32"/>
          <w:szCs w:val="32"/>
          <w:highlight w:val="none"/>
          <w:lang w:val="en-US" w:eastAsia="zh-CN"/>
        </w:rPr>
        <w:t>奈曼旗特木勒养殖专业合作社奶牛养殖</w:t>
      </w:r>
      <w:r>
        <w:rPr>
          <w:rFonts w:hint="eastAsia" w:ascii="Times New Roman" w:hAnsi="Times New Roman" w:eastAsia="仿宋_GB2312" w:cs="Times New Roman"/>
          <w:b/>
          <w:bCs/>
          <w:kern w:val="2"/>
          <w:sz w:val="32"/>
          <w:szCs w:val="32"/>
          <w:lang w:val="en-US" w:eastAsia="zh-CN" w:bidi="ar-SA"/>
        </w:rPr>
        <w:t>科技展示场所</w:t>
      </w:r>
      <w:r>
        <w:rPr>
          <w:rFonts w:hint="eastAsia" w:ascii="仿宋_GB2312" w:hAnsi="仿宋_GB2312" w:eastAsia="仿宋_GB2312" w:cs="仿宋_GB2312"/>
          <w:b/>
          <w:bCs/>
          <w:sz w:val="32"/>
          <w:szCs w:val="32"/>
          <w:highlight w:val="none"/>
          <w:lang w:val="en-US" w:eastAsia="zh-CN"/>
        </w:rPr>
        <w:t>（专业合作社、长期合作）。</w:t>
      </w:r>
      <w:r>
        <w:rPr>
          <w:rFonts w:hint="eastAsia" w:ascii="仿宋_GB2312" w:hAnsi="仿宋_GB2312" w:eastAsia="仿宋_GB2312" w:cs="仿宋_GB2312"/>
          <w:b w:val="0"/>
          <w:bCs w:val="0"/>
          <w:sz w:val="32"/>
          <w:szCs w:val="32"/>
          <w:highlight w:val="none"/>
          <w:lang w:val="en-US" w:eastAsia="zh-CN"/>
        </w:rPr>
        <w:t>场所位于奈曼旗大沁他拉镇先锋村，现饲养奶牛600头。重点试验展示技术有：预混料自配技术、娟姗西门塔尔杂交改良技术等。</w:t>
      </w:r>
    </w:p>
    <w:p w14:paraId="4FED6BED">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技术负责单位：奈曼旗农牧和科技局</w:t>
      </w:r>
    </w:p>
    <w:p w14:paraId="2182978A">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指导专家：高凤林 奈曼旗动物疫病预防控制中心</w:t>
      </w:r>
    </w:p>
    <w:p w14:paraId="7FB71BD6">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技术人员：赵常明 特木勒养殖专业合作社</w:t>
      </w:r>
    </w:p>
    <w:p w14:paraId="1B951E57">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textAlignment w:val="auto"/>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场所负责人：包特木勒 联系电话13948544479</w:t>
      </w:r>
    </w:p>
    <w:p w14:paraId="31096360">
      <w:pPr>
        <w:keepNext w:val="0"/>
        <w:keepLines w:val="0"/>
        <w:pageBreakBefore w:val="0"/>
        <w:widowControl w:val="0"/>
        <w:kinsoku/>
        <w:wordWrap/>
        <w:overflowPunct/>
        <w:topLinePunct w:val="0"/>
        <w:autoSpaceDE/>
        <w:autoSpaceDN/>
        <w:bidi w:val="0"/>
        <w:adjustRightInd/>
        <w:snapToGrid/>
        <w:spacing w:line="520" w:lineRule="exact"/>
        <w:ind w:firstLine="723"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pacing w:val="20"/>
          <w:sz w:val="32"/>
          <w:szCs w:val="32"/>
          <w:highlight w:val="none"/>
          <w:lang w:val="en-US" w:eastAsia="zh-CN"/>
        </w:rPr>
        <w:t>（2）</w:t>
      </w:r>
      <w:r>
        <w:rPr>
          <w:rFonts w:hint="eastAsia" w:ascii="仿宋_GB2312" w:hAnsi="仿宋_GB2312" w:eastAsia="仿宋_GB2312" w:cs="仿宋_GB2312"/>
          <w:b/>
          <w:bCs/>
          <w:sz w:val="32"/>
          <w:szCs w:val="32"/>
          <w:highlight w:val="none"/>
          <w:lang w:val="en-US" w:eastAsia="zh-CN"/>
        </w:rPr>
        <w:t>奈曼旗国安农业开发有限公司药材育苗</w:t>
      </w:r>
      <w:r>
        <w:rPr>
          <w:rFonts w:hint="eastAsia" w:ascii="Times New Roman" w:hAnsi="Times New Roman" w:eastAsia="仿宋_GB2312" w:cs="Times New Roman"/>
          <w:b/>
          <w:bCs/>
          <w:kern w:val="2"/>
          <w:sz w:val="32"/>
          <w:szCs w:val="32"/>
          <w:lang w:val="en-US" w:eastAsia="zh-CN" w:bidi="ar-SA"/>
        </w:rPr>
        <w:t>科技展示场所</w:t>
      </w:r>
      <w:r>
        <w:rPr>
          <w:rFonts w:hint="eastAsia" w:ascii="仿宋_GB2312" w:hAnsi="仿宋_GB2312" w:eastAsia="仿宋_GB2312" w:cs="仿宋_GB2312"/>
          <w:b/>
          <w:bCs/>
          <w:sz w:val="32"/>
          <w:szCs w:val="32"/>
          <w:highlight w:val="none"/>
          <w:lang w:val="en-US" w:eastAsia="zh-CN"/>
        </w:rPr>
        <w:t>（企业、长期合作）</w:t>
      </w:r>
      <w:r>
        <w:rPr>
          <w:rFonts w:hint="eastAsia" w:ascii="仿宋_GB2312" w:hAnsi="仿宋_GB2312" w:eastAsia="仿宋_GB2312" w:cs="仿宋_GB2312"/>
          <w:b w:val="0"/>
          <w:bCs w:val="0"/>
          <w:sz w:val="32"/>
          <w:szCs w:val="32"/>
          <w:highlight w:val="none"/>
          <w:lang w:val="en-US" w:eastAsia="zh-CN"/>
        </w:rPr>
        <w:t>。场所位于奈曼旗沙日浩来镇中（蒙）药材种植基地，共繁育纯种赤芍苗50亩。重点试验展示技术有：赤芍品种选育技术、种子催芽处理技术。</w:t>
      </w:r>
    </w:p>
    <w:p w14:paraId="493BD508">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技术负责单位：奈曼旗农牧和科技局</w:t>
      </w:r>
    </w:p>
    <w:p w14:paraId="1CE5694D">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指导专家：周志明 奈曼旗农牧和科技局</w:t>
      </w:r>
    </w:p>
    <w:p w14:paraId="450CE81B">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技术人员：齐相阁 奈曼旗国安农业开发有限公司</w:t>
      </w:r>
    </w:p>
    <w:p w14:paraId="2D035471">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场所负责人：刘国安 联系电话15144756997</w:t>
      </w:r>
    </w:p>
    <w:p w14:paraId="75FE980C">
      <w:pPr>
        <w:keepNext w:val="0"/>
        <w:keepLines w:val="0"/>
        <w:pageBreakBefore w:val="0"/>
        <w:widowControl w:val="0"/>
        <w:kinsoku/>
        <w:wordWrap/>
        <w:overflowPunct/>
        <w:topLinePunct w:val="0"/>
        <w:autoSpaceDE/>
        <w:autoSpaceDN/>
        <w:bidi w:val="0"/>
        <w:adjustRightInd/>
        <w:snapToGrid/>
        <w:spacing w:line="520" w:lineRule="exact"/>
        <w:ind w:firstLine="723"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pacing w:val="20"/>
          <w:sz w:val="32"/>
          <w:szCs w:val="32"/>
          <w:highlight w:val="none"/>
          <w:lang w:val="en-US" w:eastAsia="zh-CN"/>
        </w:rPr>
        <w:t>（3）</w:t>
      </w:r>
      <w:r>
        <w:rPr>
          <w:rFonts w:hint="eastAsia" w:ascii="仿宋_GB2312" w:hAnsi="仿宋_GB2312" w:eastAsia="仿宋_GB2312" w:cs="仿宋_GB2312"/>
          <w:b/>
          <w:bCs/>
          <w:sz w:val="32"/>
          <w:szCs w:val="32"/>
          <w:highlight w:val="none"/>
          <w:lang w:val="en-US" w:eastAsia="zh-CN"/>
        </w:rPr>
        <w:t>奈曼旗隆硕农业科技有限公司水稻种植</w:t>
      </w:r>
      <w:r>
        <w:rPr>
          <w:rFonts w:hint="eastAsia" w:ascii="Times New Roman" w:hAnsi="Times New Roman" w:eastAsia="仿宋_GB2312" w:cs="Times New Roman"/>
          <w:b/>
          <w:bCs/>
          <w:kern w:val="2"/>
          <w:sz w:val="32"/>
          <w:szCs w:val="32"/>
          <w:lang w:val="en-US" w:eastAsia="zh-CN" w:bidi="ar-SA"/>
        </w:rPr>
        <w:t>科技展示场所</w:t>
      </w:r>
      <w:r>
        <w:rPr>
          <w:rFonts w:hint="eastAsia" w:ascii="仿宋_GB2312" w:hAnsi="仿宋_GB2312" w:eastAsia="仿宋_GB2312" w:cs="仿宋_GB2312"/>
          <w:b/>
          <w:bCs/>
          <w:sz w:val="32"/>
          <w:szCs w:val="32"/>
          <w:highlight w:val="none"/>
          <w:lang w:val="en-US" w:eastAsia="zh-CN"/>
        </w:rPr>
        <w:t>（企业）。</w:t>
      </w:r>
      <w:r>
        <w:rPr>
          <w:rFonts w:hint="eastAsia" w:ascii="仿宋_GB2312" w:hAnsi="仿宋_GB2312" w:eastAsia="仿宋_GB2312" w:cs="仿宋_GB2312"/>
          <w:b w:val="0"/>
          <w:bCs w:val="0"/>
          <w:sz w:val="32"/>
          <w:szCs w:val="32"/>
          <w:highlight w:val="none"/>
          <w:lang w:val="en-US" w:eastAsia="zh-CN"/>
        </w:rPr>
        <w:t>场所位于奈曼旗固日班花苏木陶勒盖图嘎查，水稻种植面积400亩。重点试验展示技术有：新品种筛选技术、有机水稻综合集成技术等。</w:t>
      </w:r>
    </w:p>
    <w:p w14:paraId="32CD2109">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技术负责单位：奈曼旗农牧和科技局</w:t>
      </w:r>
    </w:p>
    <w:p w14:paraId="20703C11">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指导专家：关  奎 奈曼旗农业技术推广中心</w:t>
      </w:r>
    </w:p>
    <w:p w14:paraId="7B3780A7">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技术人员：徐林风 内蒙古隆硕农业科技有限公司</w:t>
      </w:r>
    </w:p>
    <w:p w14:paraId="39D956F4">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场所负责人：杨振云 联系电话13947510269</w:t>
      </w:r>
    </w:p>
    <w:p w14:paraId="42D218BA">
      <w:pPr>
        <w:keepNext w:val="0"/>
        <w:keepLines w:val="0"/>
        <w:pageBreakBefore w:val="0"/>
        <w:widowControl w:val="0"/>
        <w:kinsoku/>
        <w:wordWrap/>
        <w:overflowPunct/>
        <w:topLinePunct w:val="0"/>
        <w:autoSpaceDE/>
        <w:autoSpaceDN/>
        <w:bidi w:val="0"/>
        <w:adjustRightInd/>
        <w:snapToGrid/>
        <w:spacing w:line="520" w:lineRule="exact"/>
        <w:ind w:firstLine="723"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pacing w:val="20"/>
          <w:sz w:val="32"/>
          <w:szCs w:val="32"/>
          <w:highlight w:val="none"/>
          <w:lang w:val="en-US" w:eastAsia="zh-CN"/>
        </w:rPr>
        <w:t>（4）</w:t>
      </w:r>
      <w:r>
        <w:rPr>
          <w:rFonts w:hint="eastAsia" w:ascii="仿宋_GB2312" w:hAnsi="仿宋_GB2312" w:eastAsia="仿宋_GB2312" w:cs="仿宋_GB2312"/>
          <w:b/>
          <w:bCs/>
          <w:sz w:val="32"/>
          <w:szCs w:val="32"/>
          <w:highlight w:val="none"/>
          <w:lang w:val="en-US" w:eastAsia="zh-CN"/>
        </w:rPr>
        <w:t>奈曼旗丹熙牧业有限公司西门塔尔牛养殖</w:t>
      </w:r>
      <w:r>
        <w:rPr>
          <w:rFonts w:hint="eastAsia" w:ascii="Times New Roman" w:hAnsi="Times New Roman" w:eastAsia="仿宋_GB2312" w:cs="Times New Roman"/>
          <w:b/>
          <w:bCs/>
          <w:kern w:val="2"/>
          <w:sz w:val="32"/>
          <w:szCs w:val="32"/>
          <w:lang w:val="en-US" w:eastAsia="zh-CN" w:bidi="ar-SA"/>
        </w:rPr>
        <w:t>科技展示场所</w:t>
      </w:r>
      <w:r>
        <w:rPr>
          <w:rFonts w:hint="eastAsia" w:ascii="仿宋_GB2312" w:hAnsi="仿宋_GB2312" w:eastAsia="仿宋_GB2312" w:cs="仿宋_GB2312"/>
          <w:b/>
          <w:bCs/>
          <w:sz w:val="32"/>
          <w:szCs w:val="32"/>
          <w:highlight w:val="none"/>
          <w:lang w:val="en-US" w:eastAsia="zh-CN"/>
        </w:rPr>
        <w:t>（公司）。</w:t>
      </w:r>
      <w:r>
        <w:rPr>
          <w:rFonts w:hint="eastAsia" w:ascii="仿宋_GB2312" w:hAnsi="仿宋_GB2312" w:eastAsia="仿宋_GB2312" w:cs="仿宋_GB2312"/>
          <w:b w:val="0"/>
          <w:bCs w:val="0"/>
          <w:sz w:val="32"/>
          <w:szCs w:val="32"/>
          <w:highlight w:val="none"/>
          <w:lang w:val="en-US" w:eastAsia="zh-CN"/>
        </w:rPr>
        <w:t>场所位于奈曼旗白音塔拉苏木白音塔拉村，饲养西门塔尔牛1200头。重点试验展示的技术有：畜种改良技术、TMR饲喂技术等。</w:t>
      </w:r>
    </w:p>
    <w:p w14:paraId="0FCB3DA7">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技术负责单位：奈曼旗农牧和科技局</w:t>
      </w:r>
    </w:p>
    <w:p w14:paraId="34BB7FC9">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指导专家：孟  和 奈曼旗农牧和科技局</w:t>
      </w:r>
    </w:p>
    <w:p w14:paraId="40E5AA6B">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技术人员：塔  拉 丹熙牧业有限公司</w:t>
      </w:r>
    </w:p>
    <w:p w14:paraId="30E26520">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场所负责人：汪秋霞 联系电话18912667307</w:t>
      </w:r>
    </w:p>
    <w:p w14:paraId="11260D55">
      <w:pPr>
        <w:keepNext w:val="0"/>
        <w:keepLines w:val="0"/>
        <w:pageBreakBefore w:val="0"/>
        <w:widowControl w:val="0"/>
        <w:kinsoku/>
        <w:wordWrap/>
        <w:overflowPunct/>
        <w:topLinePunct w:val="0"/>
        <w:autoSpaceDE/>
        <w:autoSpaceDN/>
        <w:bidi w:val="0"/>
        <w:adjustRightInd/>
        <w:snapToGrid/>
        <w:spacing w:line="520" w:lineRule="exact"/>
        <w:ind w:firstLine="723"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pacing w:val="20"/>
          <w:sz w:val="32"/>
          <w:szCs w:val="32"/>
          <w:highlight w:val="none"/>
          <w:lang w:val="en-US" w:eastAsia="zh-CN"/>
        </w:rPr>
        <w:t>（5）</w:t>
      </w:r>
      <w:r>
        <w:rPr>
          <w:rFonts w:hint="eastAsia" w:ascii="仿宋_GB2312" w:hAnsi="仿宋_GB2312" w:eastAsia="仿宋_GB2312" w:cs="仿宋_GB2312"/>
          <w:b/>
          <w:bCs/>
          <w:sz w:val="32"/>
          <w:szCs w:val="32"/>
          <w:highlight w:val="none"/>
          <w:lang w:eastAsia="zh-CN"/>
        </w:rPr>
        <w:t>奈曼旗永红农机服务专业合作社地膜使用回收</w:t>
      </w:r>
      <w:r>
        <w:rPr>
          <w:rFonts w:hint="eastAsia" w:ascii="Times New Roman" w:hAnsi="Times New Roman" w:eastAsia="仿宋_GB2312" w:cs="Times New Roman"/>
          <w:b/>
          <w:bCs/>
          <w:kern w:val="2"/>
          <w:sz w:val="32"/>
          <w:szCs w:val="32"/>
          <w:lang w:val="en-US" w:eastAsia="zh-CN" w:bidi="ar-SA"/>
        </w:rPr>
        <w:t>科技展示场所</w:t>
      </w:r>
      <w:r>
        <w:rPr>
          <w:rFonts w:hint="eastAsia" w:ascii="仿宋_GB2312" w:hAnsi="仿宋_GB2312" w:eastAsia="仿宋_GB2312" w:cs="仿宋_GB2312"/>
          <w:b/>
          <w:bCs/>
          <w:sz w:val="32"/>
          <w:szCs w:val="32"/>
          <w:highlight w:val="none"/>
          <w:lang w:val="en-US" w:eastAsia="zh-CN"/>
        </w:rPr>
        <w:t>（专业合作社）。</w:t>
      </w:r>
      <w:r>
        <w:rPr>
          <w:rFonts w:hint="eastAsia" w:ascii="仿宋_GB2312" w:hAnsi="仿宋_GB2312" w:eastAsia="仿宋_GB2312" w:cs="仿宋_GB2312"/>
          <w:b w:val="0"/>
          <w:bCs w:val="0"/>
          <w:sz w:val="32"/>
          <w:szCs w:val="32"/>
          <w:highlight w:val="none"/>
          <w:lang w:val="en-US" w:eastAsia="zh-CN"/>
        </w:rPr>
        <w:t>场所位于土城子乡束龙沟村，试验加厚高强度地膜使用回收技术100亩。重点试验展示技术有：全膜沟播技术、地膜回收再利用技术等。</w:t>
      </w:r>
    </w:p>
    <w:p w14:paraId="4B964E52">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技术负责单位：奈曼旗农牧和科技局</w:t>
      </w:r>
    </w:p>
    <w:p w14:paraId="090A72F4">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 w:eastAsia="仿宋_GB2312" w:cs="Calibri"/>
          <w:b w:val="0"/>
          <w:bCs w:val="0"/>
          <w:kern w:val="2"/>
          <w:sz w:val="32"/>
          <w:szCs w:val="32"/>
          <w:highlight w:val="none"/>
          <w:lang w:val="en-US" w:eastAsia="zh-CN" w:bidi="ar-SA"/>
        </w:rPr>
      </w:pPr>
      <w:r>
        <w:rPr>
          <w:rFonts w:hint="eastAsia" w:ascii="仿宋_GB2312" w:hAnsi="仿宋_GB2312" w:eastAsia="仿宋_GB2312" w:cs="仿宋_GB2312"/>
          <w:b w:val="0"/>
          <w:bCs w:val="0"/>
          <w:sz w:val="32"/>
          <w:szCs w:val="32"/>
          <w:highlight w:val="none"/>
          <w:lang w:val="en-US" w:eastAsia="zh-CN"/>
        </w:rPr>
        <w:t>指导专家：</w:t>
      </w:r>
      <w:r>
        <w:rPr>
          <w:rFonts w:hint="eastAsia" w:ascii="仿宋_GB2312" w:hAnsi="仿宋" w:eastAsia="仿宋_GB2312" w:cs="Calibri"/>
          <w:b w:val="0"/>
          <w:bCs w:val="0"/>
          <w:kern w:val="2"/>
          <w:sz w:val="32"/>
          <w:szCs w:val="32"/>
          <w:highlight w:val="none"/>
          <w:lang w:val="en-US" w:eastAsia="zh-CN" w:bidi="ar-SA"/>
        </w:rPr>
        <w:t>宋晓燕 奈曼旗农牧和科技局</w:t>
      </w:r>
    </w:p>
    <w:p w14:paraId="7B36E071">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技术人员：杨宝玲 束龙沟村党支部</w:t>
      </w:r>
    </w:p>
    <w:p w14:paraId="2914DDBF">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场所负责人：王镇 联系电话13847564833</w:t>
      </w:r>
    </w:p>
    <w:p w14:paraId="6C14A520">
      <w:pPr>
        <w:keepNext w:val="0"/>
        <w:keepLines w:val="0"/>
        <w:pageBreakBefore w:val="0"/>
        <w:widowControl w:val="0"/>
        <w:kinsoku/>
        <w:wordWrap/>
        <w:overflowPunct/>
        <w:topLinePunct w:val="0"/>
        <w:autoSpaceDE/>
        <w:autoSpaceDN/>
        <w:bidi w:val="0"/>
        <w:adjustRightInd/>
        <w:snapToGrid/>
        <w:spacing w:line="520" w:lineRule="exact"/>
        <w:ind w:firstLine="723"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pacing w:val="20"/>
          <w:sz w:val="32"/>
          <w:szCs w:val="32"/>
          <w:highlight w:val="none"/>
          <w:lang w:val="en-US" w:eastAsia="zh-CN"/>
        </w:rPr>
        <w:t>（6）</w:t>
      </w:r>
      <w:r>
        <w:rPr>
          <w:rFonts w:hint="eastAsia" w:ascii="仿宋_GB2312" w:hAnsi="仿宋_GB2312" w:eastAsia="仿宋_GB2312" w:cs="仿宋_GB2312"/>
          <w:b/>
          <w:bCs/>
          <w:spacing w:val="0"/>
          <w:sz w:val="32"/>
          <w:szCs w:val="32"/>
          <w:highlight w:val="none"/>
          <w:lang w:eastAsia="zh-CN"/>
        </w:rPr>
        <w:t>奈曼旗</w:t>
      </w:r>
      <w:r>
        <w:rPr>
          <w:rFonts w:hint="eastAsia" w:ascii="仿宋_GB2312" w:hAnsi="仿宋_GB2312" w:eastAsia="仿宋_GB2312" w:cs="仿宋_GB2312"/>
          <w:b/>
          <w:bCs/>
          <w:sz w:val="32"/>
          <w:szCs w:val="32"/>
          <w:highlight w:val="none"/>
          <w:lang w:val="en-US" w:eastAsia="zh-CN"/>
        </w:rPr>
        <w:t>硕农菌类有限公司食用菌种植</w:t>
      </w:r>
      <w:r>
        <w:rPr>
          <w:rFonts w:hint="eastAsia" w:ascii="Times New Roman" w:hAnsi="Times New Roman" w:eastAsia="仿宋_GB2312" w:cs="Times New Roman"/>
          <w:b/>
          <w:bCs/>
          <w:kern w:val="2"/>
          <w:sz w:val="32"/>
          <w:szCs w:val="32"/>
          <w:lang w:val="en-US" w:eastAsia="zh-CN" w:bidi="ar-SA"/>
        </w:rPr>
        <w:t>科技展示场所</w:t>
      </w:r>
      <w:r>
        <w:rPr>
          <w:rFonts w:hint="eastAsia" w:ascii="仿宋_GB2312" w:hAnsi="仿宋_GB2312" w:eastAsia="仿宋_GB2312" w:cs="仿宋_GB2312"/>
          <w:b/>
          <w:bCs/>
          <w:sz w:val="32"/>
          <w:szCs w:val="32"/>
          <w:highlight w:val="none"/>
          <w:lang w:val="en-US" w:eastAsia="zh-CN"/>
        </w:rPr>
        <w:t>（企业）。</w:t>
      </w:r>
      <w:r>
        <w:rPr>
          <w:rFonts w:hint="eastAsia" w:ascii="仿宋_GB2312" w:hAnsi="仿宋_GB2312" w:eastAsia="仿宋_GB2312" w:cs="仿宋_GB2312"/>
          <w:b w:val="0"/>
          <w:bCs w:val="0"/>
          <w:sz w:val="32"/>
          <w:szCs w:val="32"/>
          <w:highlight w:val="none"/>
          <w:lang w:val="en-US" w:eastAsia="zh-CN"/>
        </w:rPr>
        <w:t>场所位于奈曼旗白音他拉苏木白音他拉村，占地70亩。重点试验展示技术有：熟料栽培技术、立体栽培技术等。</w:t>
      </w:r>
    </w:p>
    <w:p w14:paraId="5246956E">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技术负责单位：奈曼旗农牧和科技局</w:t>
      </w:r>
    </w:p>
    <w:p w14:paraId="5EDC8F54">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 w:eastAsia="仿宋_GB2312" w:cs="Times New Roman"/>
          <w:color w:val="auto"/>
          <w:sz w:val="32"/>
          <w:szCs w:val="32"/>
          <w:highlight w:val="yellow"/>
          <w:lang w:val="en-US" w:eastAsia="zh-CN"/>
        </w:rPr>
      </w:pPr>
      <w:r>
        <w:rPr>
          <w:rFonts w:hint="eastAsia" w:ascii="仿宋_GB2312" w:hAnsi="仿宋_GB2312" w:eastAsia="仿宋_GB2312" w:cs="仿宋_GB2312"/>
          <w:b w:val="0"/>
          <w:bCs w:val="0"/>
          <w:sz w:val="32"/>
          <w:szCs w:val="32"/>
          <w:highlight w:val="none"/>
          <w:lang w:val="en-US" w:eastAsia="zh-CN"/>
        </w:rPr>
        <w:t>指导专家：</w:t>
      </w:r>
      <w:r>
        <w:rPr>
          <w:rFonts w:hint="eastAsia" w:ascii="仿宋_GB2312" w:hAnsi="仿宋" w:eastAsia="仿宋_GB2312" w:cs="Times New Roman"/>
          <w:color w:val="auto"/>
          <w:sz w:val="32"/>
          <w:szCs w:val="32"/>
          <w:highlight w:val="none"/>
          <w:lang w:val="en-US" w:eastAsia="zh-CN"/>
        </w:rPr>
        <w:t>李爱武 奈曼旗农畜产品质量安全中心</w:t>
      </w:r>
    </w:p>
    <w:p w14:paraId="30772110">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 xml:space="preserve">技术人员：孙国金 </w:t>
      </w:r>
      <w:r>
        <w:rPr>
          <w:rFonts w:hint="eastAsia" w:ascii="仿宋_GB2312" w:hAnsi="仿宋" w:eastAsia="仿宋_GB2312" w:cs="Times New Roman"/>
          <w:color w:val="auto"/>
          <w:sz w:val="32"/>
          <w:szCs w:val="32"/>
          <w:highlight w:val="none"/>
          <w:lang w:val="en-US" w:eastAsia="zh-CN"/>
        </w:rPr>
        <w:t>奈曼旗硕农菌类有限公司</w:t>
      </w:r>
    </w:p>
    <w:p w14:paraId="24D81699">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场所负责人：杨立军 联系电话13644751165</w:t>
      </w:r>
    </w:p>
    <w:p w14:paraId="40A6BBDA">
      <w:pPr>
        <w:keepNext w:val="0"/>
        <w:keepLines w:val="0"/>
        <w:pageBreakBefore w:val="0"/>
        <w:widowControl w:val="0"/>
        <w:kinsoku/>
        <w:wordWrap/>
        <w:overflowPunct/>
        <w:topLinePunct w:val="0"/>
        <w:autoSpaceDE/>
        <w:autoSpaceDN/>
        <w:bidi w:val="0"/>
        <w:adjustRightInd/>
        <w:snapToGrid/>
        <w:spacing w:line="520" w:lineRule="exact"/>
        <w:ind w:firstLine="723"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pacing w:val="20"/>
          <w:sz w:val="32"/>
          <w:szCs w:val="32"/>
          <w:highlight w:val="none"/>
          <w:lang w:val="en-US" w:eastAsia="zh-CN"/>
        </w:rPr>
        <w:t>（7）</w:t>
      </w:r>
      <w:r>
        <w:rPr>
          <w:rFonts w:hint="eastAsia" w:ascii="仿宋_GB2312" w:hAnsi="仿宋_GB2312" w:eastAsia="仿宋_GB2312" w:cs="仿宋_GB2312"/>
          <w:b/>
          <w:bCs/>
          <w:sz w:val="32"/>
          <w:szCs w:val="32"/>
          <w:highlight w:val="none"/>
          <w:lang w:val="en-US" w:eastAsia="zh-CN"/>
        </w:rPr>
        <w:t>奈曼旗山咀种养殖专业合作社小米种植</w:t>
      </w:r>
      <w:r>
        <w:rPr>
          <w:rFonts w:hint="eastAsia" w:ascii="Times New Roman" w:hAnsi="Times New Roman" w:eastAsia="仿宋_GB2312" w:cs="Times New Roman"/>
          <w:b/>
          <w:bCs/>
          <w:kern w:val="2"/>
          <w:sz w:val="32"/>
          <w:szCs w:val="32"/>
          <w:lang w:val="en-US" w:eastAsia="zh-CN" w:bidi="ar-SA"/>
        </w:rPr>
        <w:t>科技展示场所</w:t>
      </w:r>
      <w:r>
        <w:rPr>
          <w:rFonts w:hint="eastAsia" w:ascii="仿宋_GB2312" w:hAnsi="仿宋_GB2312" w:eastAsia="仿宋_GB2312" w:cs="仿宋_GB2312"/>
          <w:b/>
          <w:bCs/>
          <w:sz w:val="32"/>
          <w:szCs w:val="32"/>
          <w:highlight w:val="none"/>
          <w:lang w:val="en-US" w:eastAsia="zh-CN"/>
        </w:rPr>
        <w:t>（专业合作社）。</w:t>
      </w:r>
      <w:r>
        <w:rPr>
          <w:rFonts w:hint="eastAsia" w:ascii="仿宋_GB2312" w:hAnsi="仿宋_GB2312" w:eastAsia="仿宋_GB2312" w:cs="仿宋_GB2312"/>
          <w:b w:val="0"/>
          <w:bCs w:val="0"/>
          <w:sz w:val="32"/>
          <w:szCs w:val="32"/>
          <w:highlight w:val="none"/>
          <w:lang w:val="en-US" w:eastAsia="zh-CN"/>
        </w:rPr>
        <w:t>场所位于奈曼旗新镇山咀村，种植面积1000亩。重点试验展示的技术有：新品种筛选技术、绿色谷子标准化技术。</w:t>
      </w:r>
    </w:p>
    <w:p w14:paraId="3BB8E85C">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技术负责单位：奈曼旗农牧和科技局</w:t>
      </w:r>
    </w:p>
    <w:p w14:paraId="788E34B1">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指导专家：关 奎 奈曼旗农业技术推广中心</w:t>
      </w:r>
    </w:p>
    <w:p w14:paraId="6D4678BD">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技术人员：姚松辉 山咀种养殖专业合作社</w:t>
      </w:r>
    </w:p>
    <w:p w14:paraId="5F34F6AB">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场所负责人：姚松辉 联系电话18347547111</w:t>
      </w:r>
    </w:p>
    <w:p w14:paraId="0C6FAF4C">
      <w:pPr>
        <w:keepNext w:val="0"/>
        <w:keepLines w:val="0"/>
        <w:pageBreakBefore w:val="0"/>
        <w:widowControl w:val="0"/>
        <w:kinsoku/>
        <w:wordWrap/>
        <w:overflowPunct/>
        <w:topLinePunct w:val="0"/>
        <w:autoSpaceDE/>
        <w:autoSpaceDN/>
        <w:bidi w:val="0"/>
        <w:adjustRightInd/>
        <w:snapToGrid/>
        <w:spacing w:line="520" w:lineRule="exact"/>
        <w:ind w:firstLine="723"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pacing w:val="20"/>
          <w:sz w:val="32"/>
          <w:szCs w:val="32"/>
          <w:highlight w:val="none"/>
          <w:lang w:val="en-US" w:eastAsia="zh-CN"/>
        </w:rPr>
        <w:t>（8）</w:t>
      </w:r>
      <w:r>
        <w:rPr>
          <w:rFonts w:hint="eastAsia" w:ascii="仿宋_GB2312" w:hAnsi="仿宋_GB2312" w:eastAsia="仿宋_GB2312" w:cs="仿宋_GB2312"/>
          <w:b/>
          <w:bCs/>
          <w:sz w:val="32"/>
          <w:szCs w:val="32"/>
          <w:highlight w:val="none"/>
          <w:lang w:val="en-US" w:eastAsia="zh-CN"/>
        </w:rPr>
        <w:t>奈曼旗瑞通种植专业合作社甘薯种植</w:t>
      </w:r>
      <w:r>
        <w:rPr>
          <w:rFonts w:hint="eastAsia" w:ascii="Times New Roman" w:hAnsi="Times New Roman" w:eastAsia="仿宋_GB2312" w:cs="Times New Roman"/>
          <w:b/>
          <w:bCs/>
          <w:kern w:val="2"/>
          <w:sz w:val="32"/>
          <w:szCs w:val="32"/>
          <w:lang w:val="en-US" w:eastAsia="zh-CN" w:bidi="ar-SA"/>
        </w:rPr>
        <w:t>科技展示场所</w:t>
      </w:r>
      <w:r>
        <w:rPr>
          <w:rFonts w:hint="eastAsia" w:ascii="仿宋_GB2312" w:hAnsi="仿宋_GB2312" w:eastAsia="仿宋_GB2312" w:cs="仿宋_GB2312"/>
          <w:b/>
          <w:bCs/>
          <w:sz w:val="32"/>
          <w:szCs w:val="32"/>
          <w:highlight w:val="none"/>
          <w:lang w:val="en-US" w:eastAsia="zh-CN"/>
        </w:rPr>
        <w:t>（专业合作社）。</w:t>
      </w:r>
      <w:r>
        <w:rPr>
          <w:rFonts w:hint="eastAsia" w:ascii="仿宋_GB2312" w:hAnsi="仿宋_GB2312" w:eastAsia="仿宋_GB2312" w:cs="仿宋_GB2312"/>
          <w:b w:val="0"/>
          <w:bCs w:val="0"/>
          <w:sz w:val="32"/>
          <w:szCs w:val="32"/>
          <w:highlight w:val="none"/>
          <w:lang w:val="en-US" w:eastAsia="zh-CN"/>
        </w:rPr>
        <w:t>场所位于奈曼旗新镇白音昌村，种植面积1000亩。重点试验展示的技术有：脱毒甘薯品种遴选技术、高产栽培技术等。</w:t>
      </w:r>
    </w:p>
    <w:p w14:paraId="66DD2CF9">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技术负责单位：奈曼旗农牧和科技局</w:t>
      </w:r>
    </w:p>
    <w:p w14:paraId="67303EF0">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指导专家：</w:t>
      </w:r>
      <w:r>
        <w:rPr>
          <w:rFonts w:hint="eastAsia" w:ascii="仿宋_GB2312" w:hAnsi="仿宋" w:eastAsia="仿宋_GB2312" w:cs="Times New Roman"/>
          <w:color w:val="auto"/>
          <w:sz w:val="32"/>
          <w:szCs w:val="32"/>
          <w:highlight w:val="none"/>
          <w:lang w:val="en-US" w:eastAsia="zh-CN"/>
        </w:rPr>
        <w:t xml:space="preserve">关 奎 </w:t>
      </w:r>
      <w:r>
        <w:rPr>
          <w:rFonts w:hint="eastAsia" w:ascii="仿宋_GB2312" w:hAnsi="仿宋_GB2312" w:eastAsia="仿宋_GB2312" w:cs="仿宋_GB2312"/>
          <w:b w:val="0"/>
          <w:bCs w:val="0"/>
          <w:sz w:val="32"/>
          <w:szCs w:val="32"/>
          <w:highlight w:val="none"/>
          <w:lang w:val="en-US" w:eastAsia="zh-CN"/>
        </w:rPr>
        <w:t>奈曼旗农业技术推广中心</w:t>
      </w:r>
    </w:p>
    <w:p w14:paraId="2932DB2E">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bCs/>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技术人员：刘相臣 瑞通种植专业合作社</w:t>
      </w:r>
    </w:p>
    <w:p w14:paraId="212C155C">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场所负责人：刘相臣 联系电话13634752288</w:t>
      </w:r>
    </w:p>
    <w:p w14:paraId="29A93E68">
      <w:pPr>
        <w:keepNext w:val="0"/>
        <w:keepLines w:val="0"/>
        <w:pageBreakBefore w:val="0"/>
        <w:widowControl w:val="0"/>
        <w:kinsoku/>
        <w:wordWrap/>
        <w:overflowPunct/>
        <w:topLinePunct w:val="0"/>
        <w:autoSpaceDE/>
        <w:autoSpaceDN/>
        <w:bidi w:val="0"/>
        <w:adjustRightInd/>
        <w:snapToGrid/>
        <w:spacing w:line="520" w:lineRule="exact"/>
        <w:ind w:firstLine="723"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pacing w:val="20"/>
          <w:sz w:val="32"/>
          <w:szCs w:val="32"/>
          <w:highlight w:val="none"/>
          <w:lang w:val="en-US" w:eastAsia="zh-CN"/>
        </w:rPr>
        <w:t>（9）</w:t>
      </w:r>
      <w:r>
        <w:rPr>
          <w:rFonts w:hint="eastAsia" w:ascii="仿宋_GB2312" w:hAnsi="仿宋_GB2312" w:eastAsia="仿宋_GB2312" w:cs="仿宋_GB2312"/>
          <w:b/>
          <w:bCs/>
          <w:sz w:val="32"/>
          <w:szCs w:val="32"/>
          <w:highlight w:val="none"/>
          <w:lang w:val="en-US" w:eastAsia="zh-CN"/>
        </w:rPr>
        <w:t>奈曼旗北哈种植专业合作社设施农业</w:t>
      </w:r>
      <w:r>
        <w:rPr>
          <w:rFonts w:hint="eastAsia" w:ascii="Times New Roman" w:hAnsi="Times New Roman" w:eastAsia="仿宋_GB2312" w:cs="Times New Roman"/>
          <w:b/>
          <w:bCs/>
          <w:kern w:val="2"/>
          <w:sz w:val="32"/>
          <w:szCs w:val="32"/>
          <w:lang w:val="en-US" w:eastAsia="zh-CN" w:bidi="ar-SA"/>
        </w:rPr>
        <w:t>科技展示场所</w:t>
      </w:r>
      <w:r>
        <w:rPr>
          <w:rFonts w:hint="eastAsia" w:ascii="仿宋_GB2312" w:hAnsi="仿宋_GB2312" w:eastAsia="仿宋_GB2312" w:cs="仿宋_GB2312"/>
          <w:b/>
          <w:bCs/>
          <w:sz w:val="32"/>
          <w:szCs w:val="32"/>
          <w:highlight w:val="none"/>
          <w:lang w:val="en-US" w:eastAsia="zh-CN"/>
        </w:rPr>
        <w:t>（专业合作社）。</w:t>
      </w:r>
      <w:r>
        <w:rPr>
          <w:rFonts w:hint="eastAsia" w:ascii="仿宋_GB2312" w:hAnsi="仿宋_GB2312" w:eastAsia="仿宋_GB2312" w:cs="仿宋_GB2312"/>
          <w:b w:val="0"/>
          <w:bCs w:val="0"/>
          <w:sz w:val="32"/>
          <w:szCs w:val="32"/>
          <w:highlight w:val="none"/>
          <w:lang w:val="en-US" w:eastAsia="zh-CN"/>
        </w:rPr>
        <w:t>场所位于奈曼旗大沁他垃镇北哈沙图村</w:t>
      </w:r>
      <w:r>
        <w:rPr>
          <w:rFonts w:hint="eastAsia" w:ascii="仿宋_GB2312" w:hAnsi="仿宋_GB2312" w:eastAsia="仿宋_GB2312" w:cs="仿宋_GB2312"/>
          <w:b/>
          <w:bCs/>
          <w:sz w:val="32"/>
          <w:szCs w:val="32"/>
          <w:highlight w:val="none"/>
          <w:lang w:val="en-US" w:eastAsia="zh-CN"/>
        </w:rPr>
        <w:t>，</w:t>
      </w:r>
      <w:r>
        <w:rPr>
          <w:rFonts w:hint="eastAsia" w:ascii="仿宋_GB2312" w:hAnsi="仿宋_GB2312" w:eastAsia="仿宋_GB2312" w:cs="仿宋_GB2312"/>
          <w:b w:val="0"/>
          <w:bCs w:val="0"/>
          <w:sz w:val="32"/>
          <w:szCs w:val="32"/>
          <w:highlight w:val="none"/>
          <w:lang w:val="en-US" w:eastAsia="zh-CN"/>
        </w:rPr>
        <w:t>现有春秋棚162栋，暖棚60栋。重点试验展示技术有：标准化绿色蔬菜栽培技术、智能自动恒温水肥一体化技术等。</w:t>
      </w:r>
    </w:p>
    <w:p w14:paraId="53E31D11">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技术负责单位：奈曼旗农牧和科技局</w:t>
      </w:r>
    </w:p>
    <w:p w14:paraId="0C205939">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指导专家：李爱武 奈曼旗农牧和科技局</w:t>
      </w:r>
    </w:p>
    <w:p w14:paraId="03B71CE9">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技术人员：李建美 北哈沙图种植专业合作社</w:t>
      </w:r>
    </w:p>
    <w:p w14:paraId="366991F4">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场所负责人：刘飞 联系电话15771515685</w:t>
      </w:r>
    </w:p>
    <w:p w14:paraId="7D680272">
      <w:pPr>
        <w:keepNext w:val="0"/>
        <w:keepLines w:val="0"/>
        <w:pageBreakBefore w:val="0"/>
        <w:widowControl w:val="0"/>
        <w:kinsoku/>
        <w:wordWrap/>
        <w:overflowPunct/>
        <w:topLinePunct w:val="0"/>
        <w:autoSpaceDE/>
        <w:autoSpaceDN/>
        <w:bidi w:val="0"/>
        <w:adjustRightInd/>
        <w:snapToGrid/>
        <w:spacing w:line="520" w:lineRule="exact"/>
        <w:ind w:firstLine="723"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pacing w:val="20"/>
          <w:sz w:val="32"/>
          <w:szCs w:val="32"/>
          <w:highlight w:val="none"/>
          <w:lang w:val="en-US" w:eastAsia="zh-CN"/>
        </w:rPr>
        <w:t>（10）</w:t>
      </w:r>
      <w:r>
        <w:rPr>
          <w:rFonts w:hint="eastAsia" w:ascii="仿宋_GB2312" w:hAnsi="仿宋_GB2312" w:eastAsia="仿宋_GB2312" w:cs="仿宋_GB2312"/>
          <w:b/>
          <w:bCs/>
          <w:sz w:val="32"/>
          <w:szCs w:val="32"/>
          <w:highlight w:val="none"/>
          <w:lang w:val="en-US" w:eastAsia="zh-CN"/>
        </w:rPr>
        <w:t>奈曼旗飞越种养植专业合作社鸡心果种植</w:t>
      </w:r>
      <w:r>
        <w:rPr>
          <w:rFonts w:hint="eastAsia" w:ascii="Times New Roman" w:hAnsi="Times New Roman" w:eastAsia="仿宋_GB2312" w:cs="Times New Roman"/>
          <w:b/>
          <w:bCs/>
          <w:kern w:val="2"/>
          <w:sz w:val="32"/>
          <w:szCs w:val="32"/>
          <w:lang w:val="en-US" w:eastAsia="zh-CN" w:bidi="ar-SA"/>
        </w:rPr>
        <w:t>科技展示场所</w:t>
      </w:r>
      <w:r>
        <w:rPr>
          <w:rFonts w:hint="eastAsia" w:ascii="仿宋_GB2312" w:hAnsi="仿宋_GB2312" w:eastAsia="仿宋_GB2312" w:cs="仿宋_GB2312"/>
          <w:b/>
          <w:bCs/>
          <w:sz w:val="32"/>
          <w:szCs w:val="32"/>
          <w:highlight w:val="none"/>
          <w:lang w:val="en-US" w:eastAsia="zh-CN"/>
        </w:rPr>
        <w:t>（专业合作社）。</w:t>
      </w:r>
      <w:r>
        <w:rPr>
          <w:rFonts w:hint="eastAsia" w:ascii="仿宋_GB2312" w:hAnsi="仿宋_GB2312" w:eastAsia="仿宋_GB2312" w:cs="仿宋_GB2312"/>
          <w:b w:val="0"/>
          <w:bCs w:val="0"/>
          <w:sz w:val="32"/>
          <w:szCs w:val="32"/>
          <w:highlight w:val="none"/>
          <w:lang w:val="en-US" w:eastAsia="zh-CN"/>
        </w:rPr>
        <w:t>场所位于奈曼旗苇莲苏乡西二十家村</w:t>
      </w:r>
      <w:r>
        <w:rPr>
          <w:rFonts w:hint="eastAsia" w:ascii="仿宋_GB2312" w:hAnsi="仿宋_GB2312" w:eastAsia="仿宋_GB2312" w:cs="仿宋_GB2312"/>
          <w:b/>
          <w:bCs/>
          <w:sz w:val="32"/>
          <w:szCs w:val="32"/>
          <w:highlight w:val="none"/>
          <w:lang w:val="en-US" w:eastAsia="zh-CN"/>
        </w:rPr>
        <w:t>，</w:t>
      </w:r>
      <w:r>
        <w:rPr>
          <w:rFonts w:hint="eastAsia" w:ascii="仿宋_GB2312" w:hAnsi="仿宋_GB2312" w:eastAsia="仿宋_GB2312" w:cs="仿宋_GB2312"/>
          <w:b w:val="0"/>
          <w:bCs w:val="0"/>
          <w:sz w:val="32"/>
          <w:szCs w:val="32"/>
          <w:highlight w:val="none"/>
          <w:lang w:val="en-US" w:eastAsia="zh-CN"/>
        </w:rPr>
        <w:t>种植面积1000亩。重点试验展示技术有：整形修剪技术、病虫害防治技术等。</w:t>
      </w:r>
    </w:p>
    <w:p w14:paraId="600C7341">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技术负责单位：奈曼旗农牧和科技局</w:t>
      </w:r>
    </w:p>
    <w:p w14:paraId="2E8A038D">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指导专家：从向阳 奈曼旗农业技术推广中心</w:t>
      </w:r>
    </w:p>
    <w:p w14:paraId="4E32FF95">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技术人员：张富坤 飞越种养植专业合作</w:t>
      </w:r>
    </w:p>
    <w:p w14:paraId="634111F3">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场所负责人：张海星 联系电话13848850924</w:t>
      </w:r>
    </w:p>
    <w:p w14:paraId="3104BA75">
      <w:pPr>
        <w:keepNext w:val="0"/>
        <w:keepLines w:val="0"/>
        <w:pageBreakBefore w:val="0"/>
        <w:widowControl w:val="0"/>
        <w:kinsoku/>
        <w:wordWrap/>
        <w:overflowPunct/>
        <w:topLinePunct w:val="0"/>
        <w:autoSpaceDE/>
        <w:autoSpaceDN/>
        <w:bidi w:val="0"/>
        <w:adjustRightInd/>
        <w:snapToGrid/>
        <w:spacing w:line="520" w:lineRule="exact"/>
        <w:ind w:firstLine="723"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pacing w:val="20"/>
          <w:sz w:val="32"/>
          <w:szCs w:val="32"/>
          <w:highlight w:val="none"/>
          <w:lang w:val="en-US" w:eastAsia="zh-CN"/>
        </w:rPr>
        <w:t>（11）</w:t>
      </w:r>
      <w:r>
        <w:rPr>
          <w:rFonts w:hint="eastAsia" w:ascii="仿宋_GB2312" w:hAnsi="仿宋_GB2312" w:eastAsia="仿宋_GB2312" w:cs="仿宋_GB2312"/>
          <w:b/>
          <w:bCs/>
          <w:sz w:val="32"/>
          <w:szCs w:val="32"/>
          <w:highlight w:val="none"/>
          <w:lang w:val="en-US" w:eastAsia="zh-CN"/>
        </w:rPr>
        <w:t>奈曼旗前达门生态建设有限公司玉米种植</w:t>
      </w:r>
      <w:r>
        <w:rPr>
          <w:rFonts w:hint="eastAsia" w:ascii="Times New Roman" w:hAnsi="Times New Roman" w:eastAsia="仿宋_GB2312" w:cs="Times New Roman"/>
          <w:b/>
          <w:bCs/>
          <w:kern w:val="2"/>
          <w:sz w:val="32"/>
          <w:szCs w:val="32"/>
          <w:lang w:val="en-US" w:eastAsia="zh-CN" w:bidi="ar-SA"/>
        </w:rPr>
        <w:t>科技展示场所</w:t>
      </w:r>
      <w:r>
        <w:rPr>
          <w:rFonts w:hint="eastAsia" w:ascii="仿宋_GB2312" w:hAnsi="仿宋_GB2312" w:eastAsia="仿宋_GB2312" w:cs="仿宋_GB2312"/>
          <w:b/>
          <w:bCs/>
          <w:sz w:val="32"/>
          <w:szCs w:val="32"/>
          <w:highlight w:val="none"/>
          <w:lang w:val="en-US" w:eastAsia="zh-CN"/>
        </w:rPr>
        <w:t>（企业）。</w:t>
      </w:r>
      <w:r>
        <w:rPr>
          <w:rFonts w:hint="eastAsia" w:ascii="仿宋_GB2312" w:hAnsi="仿宋_GB2312" w:eastAsia="仿宋_GB2312" w:cs="仿宋_GB2312"/>
          <w:b w:val="0"/>
          <w:bCs w:val="0"/>
          <w:sz w:val="32"/>
          <w:szCs w:val="32"/>
          <w:highlight w:val="none"/>
          <w:lang w:val="en-US" w:eastAsia="zh-CN"/>
        </w:rPr>
        <w:t>场所位于奈曼旗固日班花苏木查干淖尔嘎查</w:t>
      </w:r>
      <w:r>
        <w:rPr>
          <w:rFonts w:hint="eastAsia" w:ascii="仿宋_GB2312" w:hAnsi="仿宋_GB2312" w:eastAsia="仿宋_GB2312" w:cs="仿宋_GB2312"/>
          <w:b/>
          <w:bCs/>
          <w:sz w:val="32"/>
          <w:szCs w:val="32"/>
          <w:highlight w:val="none"/>
          <w:lang w:val="en-US" w:eastAsia="zh-CN"/>
        </w:rPr>
        <w:t>，</w:t>
      </w:r>
      <w:r>
        <w:rPr>
          <w:rFonts w:hint="eastAsia" w:ascii="仿宋_GB2312" w:hAnsi="仿宋_GB2312" w:eastAsia="仿宋_GB2312" w:cs="仿宋_GB2312"/>
          <w:b w:val="0"/>
          <w:bCs w:val="0"/>
          <w:sz w:val="32"/>
          <w:szCs w:val="32"/>
          <w:highlight w:val="none"/>
          <w:lang w:val="en-US" w:eastAsia="zh-CN"/>
        </w:rPr>
        <w:t>种植面积1000亩。重点试验展示技术有：玉米高产密植技术、水肥一体化精准调控技术等。</w:t>
      </w:r>
    </w:p>
    <w:p w14:paraId="2F284BB3">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技术负责单位：奈曼旗农牧和科技局</w:t>
      </w:r>
    </w:p>
    <w:p w14:paraId="232B4A2D">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 w:eastAsia="仿宋_GB2312"/>
          <w:sz w:val="32"/>
          <w:szCs w:val="32"/>
          <w:highlight w:val="none"/>
        </w:rPr>
      </w:pPr>
      <w:r>
        <w:rPr>
          <w:rFonts w:hint="eastAsia" w:ascii="仿宋_GB2312" w:hAnsi="仿宋_GB2312" w:eastAsia="仿宋_GB2312" w:cs="仿宋_GB2312"/>
          <w:b w:val="0"/>
          <w:bCs w:val="0"/>
          <w:sz w:val="32"/>
          <w:szCs w:val="32"/>
          <w:highlight w:val="none"/>
          <w:lang w:val="en-US" w:eastAsia="zh-CN"/>
        </w:rPr>
        <w:t>指导专家：</w:t>
      </w:r>
      <w:r>
        <w:rPr>
          <w:rFonts w:hint="eastAsia" w:ascii="仿宋_GB2312" w:hAnsi="仿宋" w:eastAsia="仿宋_GB2312"/>
          <w:sz w:val="32"/>
          <w:szCs w:val="32"/>
          <w:highlight w:val="none"/>
          <w:lang w:val="en-US" w:eastAsia="zh-CN"/>
        </w:rPr>
        <w:t xml:space="preserve">姜海超  </w:t>
      </w:r>
      <w:r>
        <w:rPr>
          <w:rFonts w:hint="eastAsia" w:ascii="仿宋_GB2312" w:hAnsi="仿宋" w:eastAsia="仿宋_GB2312"/>
          <w:sz w:val="32"/>
          <w:szCs w:val="32"/>
          <w:highlight w:val="none"/>
        </w:rPr>
        <w:t>奈曼旗农业技术推广中心</w:t>
      </w:r>
      <w:r>
        <w:rPr>
          <w:rFonts w:hint="eastAsia" w:ascii="仿宋_GB2312" w:hAnsi="仿宋" w:eastAsia="仿宋_GB2312"/>
          <w:sz w:val="32"/>
          <w:szCs w:val="32"/>
          <w:highlight w:val="none"/>
          <w:lang w:val="en-US" w:eastAsia="zh-CN"/>
        </w:rPr>
        <w:t>副</w:t>
      </w:r>
      <w:r>
        <w:rPr>
          <w:rFonts w:hint="eastAsia" w:ascii="仿宋_GB2312" w:hAnsi="仿宋" w:eastAsia="仿宋_GB2312"/>
          <w:sz w:val="32"/>
          <w:szCs w:val="32"/>
          <w:highlight w:val="none"/>
        </w:rPr>
        <w:t>主任</w:t>
      </w:r>
    </w:p>
    <w:p w14:paraId="5EEAE9EC">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技术人员：前达门呢 前达门生态建设有限公司</w:t>
      </w:r>
    </w:p>
    <w:p w14:paraId="1108E602">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场所负责人：前达门呢 联系电话13734755895</w:t>
      </w:r>
    </w:p>
    <w:p w14:paraId="47682C0A">
      <w:pPr>
        <w:keepNext w:val="0"/>
        <w:keepLines w:val="0"/>
        <w:pageBreakBefore w:val="0"/>
        <w:widowControl w:val="0"/>
        <w:kinsoku/>
        <w:wordWrap/>
        <w:overflowPunct/>
        <w:topLinePunct w:val="0"/>
        <w:autoSpaceDE/>
        <w:autoSpaceDN/>
        <w:bidi w:val="0"/>
        <w:adjustRightInd/>
        <w:snapToGrid/>
        <w:spacing w:line="520" w:lineRule="exact"/>
        <w:ind w:firstLine="723"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pacing w:val="20"/>
          <w:sz w:val="32"/>
          <w:szCs w:val="32"/>
          <w:highlight w:val="none"/>
          <w:lang w:val="en-US" w:eastAsia="zh-CN"/>
        </w:rPr>
        <w:t>（12）</w:t>
      </w:r>
      <w:r>
        <w:rPr>
          <w:rFonts w:hint="eastAsia" w:ascii="仿宋_GB2312" w:hAnsi="仿宋_GB2312" w:eastAsia="仿宋_GB2312" w:cs="仿宋_GB2312"/>
          <w:b/>
          <w:bCs/>
          <w:sz w:val="32"/>
          <w:szCs w:val="32"/>
          <w:highlight w:val="none"/>
          <w:lang w:val="en-US" w:eastAsia="zh-CN"/>
        </w:rPr>
        <w:t>奈曼旗明艳农机专业合作社玉米种植</w:t>
      </w:r>
      <w:r>
        <w:rPr>
          <w:rFonts w:hint="eastAsia" w:ascii="Times New Roman" w:hAnsi="Times New Roman" w:eastAsia="仿宋_GB2312" w:cs="Times New Roman"/>
          <w:b/>
          <w:bCs/>
          <w:kern w:val="2"/>
          <w:sz w:val="32"/>
          <w:szCs w:val="32"/>
          <w:lang w:val="en-US" w:eastAsia="zh-CN" w:bidi="ar-SA"/>
        </w:rPr>
        <w:t>科技展示场所</w:t>
      </w:r>
      <w:r>
        <w:rPr>
          <w:rFonts w:hint="eastAsia" w:ascii="仿宋_GB2312" w:hAnsi="仿宋_GB2312" w:eastAsia="仿宋_GB2312" w:cs="仿宋_GB2312"/>
          <w:b/>
          <w:bCs/>
          <w:sz w:val="32"/>
          <w:szCs w:val="32"/>
          <w:highlight w:val="none"/>
          <w:lang w:val="en-US" w:eastAsia="zh-CN"/>
        </w:rPr>
        <w:t>（专业合作社）。</w:t>
      </w:r>
      <w:r>
        <w:rPr>
          <w:rFonts w:hint="eastAsia" w:ascii="仿宋_GB2312" w:hAnsi="仿宋_GB2312" w:eastAsia="仿宋_GB2312" w:cs="仿宋_GB2312"/>
          <w:b w:val="0"/>
          <w:bCs w:val="0"/>
          <w:sz w:val="32"/>
          <w:szCs w:val="32"/>
          <w:highlight w:val="none"/>
          <w:lang w:val="en-US" w:eastAsia="zh-CN"/>
        </w:rPr>
        <w:t>场所位于奈曼旗大沁他拉镇东毛盖图村</w:t>
      </w:r>
      <w:r>
        <w:rPr>
          <w:rFonts w:hint="eastAsia" w:ascii="仿宋_GB2312" w:hAnsi="仿宋_GB2312" w:eastAsia="仿宋_GB2312" w:cs="仿宋_GB2312"/>
          <w:b/>
          <w:bCs/>
          <w:sz w:val="32"/>
          <w:szCs w:val="32"/>
          <w:highlight w:val="none"/>
          <w:lang w:val="en-US" w:eastAsia="zh-CN"/>
        </w:rPr>
        <w:t>，</w:t>
      </w:r>
      <w:r>
        <w:rPr>
          <w:rFonts w:hint="eastAsia" w:ascii="仿宋_GB2312" w:hAnsi="仿宋_GB2312" w:eastAsia="仿宋_GB2312" w:cs="仿宋_GB2312"/>
          <w:b w:val="0"/>
          <w:bCs w:val="0"/>
          <w:sz w:val="32"/>
          <w:szCs w:val="32"/>
          <w:highlight w:val="none"/>
          <w:lang w:val="en-US" w:eastAsia="zh-CN"/>
        </w:rPr>
        <w:t>种植面积1000亩。重点试验展示技术有：沙区耕地保育高产高效栽培技术、玉米密植高产精准调控技术等。</w:t>
      </w:r>
    </w:p>
    <w:p w14:paraId="1DD88E82">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技术负责单位：奈曼旗农牧和科技局</w:t>
      </w:r>
    </w:p>
    <w:p w14:paraId="5D423ED6">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 w:eastAsia="仿宋_GB2312"/>
          <w:sz w:val="32"/>
          <w:szCs w:val="32"/>
          <w:highlight w:val="none"/>
          <w:lang w:eastAsia="zh-CN"/>
        </w:rPr>
      </w:pPr>
      <w:r>
        <w:rPr>
          <w:rFonts w:hint="eastAsia" w:ascii="仿宋_GB2312" w:hAnsi="仿宋_GB2312" w:eastAsia="仿宋_GB2312" w:cs="仿宋_GB2312"/>
          <w:b w:val="0"/>
          <w:bCs w:val="0"/>
          <w:sz w:val="32"/>
          <w:szCs w:val="32"/>
          <w:highlight w:val="none"/>
          <w:lang w:val="en-US" w:eastAsia="zh-CN"/>
        </w:rPr>
        <w:t>指导专家：</w:t>
      </w:r>
      <w:r>
        <w:rPr>
          <w:rFonts w:hint="eastAsia" w:ascii="仿宋_GB2312" w:hAnsi="仿宋" w:eastAsia="仿宋_GB2312"/>
          <w:sz w:val="32"/>
          <w:szCs w:val="32"/>
          <w:highlight w:val="none"/>
          <w:lang w:val="en-US" w:eastAsia="zh-CN"/>
        </w:rPr>
        <w:t xml:space="preserve">姜海超  </w:t>
      </w:r>
      <w:r>
        <w:rPr>
          <w:rFonts w:hint="eastAsia" w:ascii="仿宋_GB2312" w:hAnsi="仿宋" w:eastAsia="仿宋_GB2312"/>
          <w:sz w:val="32"/>
          <w:szCs w:val="32"/>
          <w:highlight w:val="none"/>
        </w:rPr>
        <w:t>奈曼旗农业技术推广</w:t>
      </w:r>
      <w:r>
        <w:rPr>
          <w:rFonts w:hint="eastAsia" w:ascii="仿宋_GB2312" w:hAnsi="仿宋" w:eastAsia="仿宋_GB2312"/>
          <w:sz w:val="32"/>
          <w:szCs w:val="32"/>
          <w:highlight w:val="none"/>
          <w:lang w:eastAsia="zh-CN"/>
        </w:rPr>
        <w:t>中心</w:t>
      </w:r>
    </w:p>
    <w:p w14:paraId="384AA950">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技术人员：张宏伟 明艳农机专业合作社</w:t>
      </w:r>
    </w:p>
    <w:p w14:paraId="6B676D3A">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场所负责人：张宏伟 联系电话13847582183</w:t>
      </w:r>
    </w:p>
    <w:p w14:paraId="1AE27099">
      <w:pPr>
        <w:keepNext w:val="0"/>
        <w:keepLines w:val="0"/>
        <w:pageBreakBefore w:val="0"/>
        <w:widowControl w:val="0"/>
        <w:kinsoku/>
        <w:wordWrap/>
        <w:overflowPunct/>
        <w:topLinePunct w:val="0"/>
        <w:autoSpaceDE/>
        <w:autoSpaceDN/>
        <w:bidi w:val="0"/>
        <w:adjustRightInd/>
        <w:snapToGrid/>
        <w:spacing w:line="520" w:lineRule="exact"/>
        <w:ind w:firstLine="723"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pacing w:val="20"/>
          <w:sz w:val="32"/>
          <w:szCs w:val="32"/>
          <w:highlight w:val="none"/>
          <w:lang w:val="en-US" w:eastAsia="zh-CN"/>
        </w:rPr>
        <w:t>（13）</w:t>
      </w:r>
      <w:r>
        <w:rPr>
          <w:rFonts w:hint="eastAsia" w:ascii="仿宋_GB2312" w:hAnsi="仿宋_GB2312" w:eastAsia="仿宋_GB2312" w:cs="仿宋_GB2312"/>
          <w:b/>
          <w:bCs/>
          <w:sz w:val="32"/>
          <w:szCs w:val="32"/>
          <w:highlight w:val="none"/>
          <w:lang w:val="en-US" w:eastAsia="zh-CN"/>
        </w:rPr>
        <w:t>奈曼旗绿达种植专业合作社玉米种植</w:t>
      </w:r>
      <w:r>
        <w:rPr>
          <w:rFonts w:hint="eastAsia" w:ascii="Times New Roman" w:hAnsi="Times New Roman" w:eastAsia="仿宋_GB2312" w:cs="Times New Roman"/>
          <w:b/>
          <w:bCs/>
          <w:kern w:val="2"/>
          <w:sz w:val="32"/>
          <w:szCs w:val="32"/>
          <w:lang w:val="en-US" w:eastAsia="zh-CN" w:bidi="ar-SA"/>
        </w:rPr>
        <w:t>科技展示场所</w:t>
      </w:r>
      <w:r>
        <w:rPr>
          <w:rFonts w:hint="eastAsia" w:ascii="仿宋_GB2312" w:hAnsi="仿宋_GB2312" w:eastAsia="仿宋_GB2312" w:cs="仿宋_GB2312"/>
          <w:b/>
          <w:bCs/>
          <w:sz w:val="32"/>
          <w:szCs w:val="32"/>
          <w:highlight w:val="none"/>
          <w:lang w:val="en-US" w:eastAsia="zh-CN"/>
        </w:rPr>
        <w:t>（专业合作社）。</w:t>
      </w:r>
      <w:r>
        <w:rPr>
          <w:rFonts w:hint="eastAsia" w:ascii="仿宋_GB2312" w:hAnsi="仿宋_GB2312" w:eastAsia="仿宋_GB2312" w:cs="仿宋_GB2312"/>
          <w:b w:val="0"/>
          <w:bCs w:val="0"/>
          <w:sz w:val="32"/>
          <w:szCs w:val="32"/>
          <w:highlight w:val="none"/>
          <w:lang w:val="en-US" w:eastAsia="zh-CN"/>
        </w:rPr>
        <w:t>场所位于奈曼旗苇莲苏乡大林子村</w:t>
      </w:r>
      <w:r>
        <w:rPr>
          <w:rFonts w:hint="eastAsia" w:ascii="仿宋_GB2312" w:hAnsi="仿宋_GB2312" w:eastAsia="仿宋_GB2312" w:cs="仿宋_GB2312"/>
          <w:b/>
          <w:bCs/>
          <w:sz w:val="32"/>
          <w:szCs w:val="32"/>
          <w:highlight w:val="none"/>
          <w:lang w:val="en-US" w:eastAsia="zh-CN"/>
        </w:rPr>
        <w:t>，</w:t>
      </w:r>
      <w:r>
        <w:rPr>
          <w:rFonts w:hint="eastAsia" w:ascii="仿宋_GB2312" w:hAnsi="仿宋_GB2312" w:eastAsia="仿宋_GB2312" w:cs="仿宋_GB2312"/>
          <w:b w:val="0"/>
          <w:bCs w:val="0"/>
          <w:sz w:val="32"/>
          <w:szCs w:val="32"/>
          <w:highlight w:val="none"/>
          <w:lang w:val="en-US" w:eastAsia="zh-CN"/>
        </w:rPr>
        <w:t>种植面积1050亩。重点试验展示技术有：高标准浅埋滴灌技术、高产密植技术等。</w:t>
      </w:r>
    </w:p>
    <w:p w14:paraId="0F04DA01">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技术负责单位：奈曼旗农牧和科技局</w:t>
      </w:r>
    </w:p>
    <w:p w14:paraId="050A127F">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 w:eastAsia="仿宋_GB2312"/>
          <w:sz w:val="32"/>
          <w:szCs w:val="32"/>
          <w:highlight w:val="none"/>
        </w:rPr>
      </w:pPr>
      <w:r>
        <w:rPr>
          <w:rFonts w:hint="eastAsia" w:ascii="仿宋_GB2312" w:hAnsi="仿宋_GB2312" w:eastAsia="仿宋_GB2312" w:cs="仿宋_GB2312"/>
          <w:b w:val="0"/>
          <w:bCs w:val="0"/>
          <w:sz w:val="32"/>
          <w:szCs w:val="32"/>
          <w:highlight w:val="none"/>
          <w:lang w:val="en-US" w:eastAsia="zh-CN"/>
        </w:rPr>
        <w:t>指导专家：</w:t>
      </w:r>
      <w:r>
        <w:rPr>
          <w:rFonts w:hint="eastAsia" w:ascii="仿宋_GB2312" w:hAnsi="仿宋" w:eastAsia="仿宋_GB2312"/>
          <w:sz w:val="32"/>
          <w:szCs w:val="32"/>
          <w:highlight w:val="none"/>
          <w:lang w:val="en-US" w:eastAsia="zh-CN"/>
        </w:rPr>
        <w:t xml:space="preserve">周志明 </w:t>
      </w:r>
      <w:r>
        <w:rPr>
          <w:rFonts w:hint="eastAsia" w:ascii="仿宋_GB2312" w:hAnsi="仿宋_GB2312" w:eastAsia="仿宋_GB2312" w:cs="仿宋_GB2312"/>
          <w:b w:val="0"/>
          <w:bCs w:val="0"/>
          <w:sz w:val="32"/>
          <w:szCs w:val="32"/>
          <w:highlight w:val="none"/>
          <w:lang w:val="en-US" w:eastAsia="zh-CN"/>
        </w:rPr>
        <w:t>奈曼旗农牧和科技局</w:t>
      </w:r>
    </w:p>
    <w:p w14:paraId="560323B8">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技术人员：贾振友 绿达种植专业合作社</w:t>
      </w:r>
    </w:p>
    <w:p w14:paraId="747570F9">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场所负责人：贾振友 联系电话13789759380</w:t>
      </w:r>
    </w:p>
    <w:p w14:paraId="43DC7877">
      <w:pPr>
        <w:keepNext w:val="0"/>
        <w:keepLines w:val="0"/>
        <w:pageBreakBefore w:val="0"/>
        <w:widowControl w:val="0"/>
        <w:kinsoku/>
        <w:wordWrap/>
        <w:overflowPunct/>
        <w:topLinePunct w:val="0"/>
        <w:autoSpaceDE/>
        <w:autoSpaceDN/>
        <w:bidi w:val="0"/>
        <w:adjustRightInd/>
        <w:snapToGrid/>
        <w:spacing w:line="520" w:lineRule="exact"/>
        <w:ind w:firstLine="723"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pacing w:val="20"/>
          <w:sz w:val="32"/>
          <w:szCs w:val="32"/>
          <w:highlight w:val="none"/>
          <w:lang w:val="en-US" w:eastAsia="zh-CN"/>
        </w:rPr>
        <w:t>（14）</w:t>
      </w:r>
      <w:r>
        <w:rPr>
          <w:rFonts w:hint="eastAsia" w:ascii="仿宋_GB2312" w:hAnsi="仿宋_GB2312" w:eastAsia="仿宋_GB2312" w:cs="仿宋_GB2312"/>
          <w:b/>
          <w:bCs/>
          <w:sz w:val="32"/>
          <w:szCs w:val="32"/>
          <w:highlight w:val="none"/>
          <w:lang w:val="en-US" w:eastAsia="zh-CN"/>
        </w:rPr>
        <w:t>奈曼旗田春红家庭农牧场多元化经营</w:t>
      </w:r>
      <w:r>
        <w:rPr>
          <w:rFonts w:hint="eastAsia" w:ascii="Times New Roman" w:hAnsi="Times New Roman" w:eastAsia="仿宋_GB2312" w:cs="Times New Roman"/>
          <w:b/>
          <w:bCs/>
          <w:kern w:val="2"/>
          <w:sz w:val="32"/>
          <w:szCs w:val="32"/>
          <w:lang w:val="en-US" w:eastAsia="zh-CN" w:bidi="ar-SA"/>
        </w:rPr>
        <w:t>科技展示场所</w:t>
      </w:r>
      <w:r>
        <w:rPr>
          <w:rFonts w:hint="eastAsia" w:ascii="仿宋_GB2312" w:hAnsi="仿宋_GB2312" w:eastAsia="仿宋_GB2312" w:cs="仿宋_GB2312"/>
          <w:b/>
          <w:bCs/>
          <w:sz w:val="32"/>
          <w:szCs w:val="32"/>
          <w:highlight w:val="none"/>
          <w:lang w:val="en-US" w:eastAsia="zh-CN"/>
        </w:rPr>
        <w:t>（家庭农牧场）。</w:t>
      </w:r>
      <w:r>
        <w:rPr>
          <w:rFonts w:hint="eastAsia" w:ascii="仿宋_GB2312" w:hAnsi="仿宋_GB2312" w:eastAsia="仿宋_GB2312" w:cs="仿宋_GB2312"/>
          <w:b w:val="0"/>
          <w:bCs w:val="0"/>
          <w:sz w:val="32"/>
          <w:szCs w:val="32"/>
          <w:highlight w:val="none"/>
          <w:lang w:val="en-US" w:eastAsia="zh-CN"/>
        </w:rPr>
        <w:t>场所位于奈曼旗大沁他拉镇英特村</w:t>
      </w:r>
      <w:r>
        <w:rPr>
          <w:rFonts w:hint="eastAsia" w:ascii="仿宋_GB2312" w:hAnsi="仿宋_GB2312" w:eastAsia="仿宋_GB2312" w:cs="仿宋_GB2312"/>
          <w:b/>
          <w:bCs/>
          <w:sz w:val="32"/>
          <w:szCs w:val="32"/>
          <w:highlight w:val="none"/>
          <w:lang w:val="en-US" w:eastAsia="zh-CN"/>
        </w:rPr>
        <w:t>，</w:t>
      </w:r>
      <w:r>
        <w:rPr>
          <w:rFonts w:hint="eastAsia" w:ascii="仿宋_GB2312" w:hAnsi="仿宋_GB2312" w:eastAsia="仿宋_GB2312" w:cs="仿宋_GB2312"/>
          <w:b w:val="0"/>
          <w:bCs w:val="0"/>
          <w:sz w:val="32"/>
          <w:szCs w:val="32"/>
          <w:highlight w:val="none"/>
          <w:lang w:val="en-US" w:eastAsia="zh-CN"/>
        </w:rPr>
        <w:t>占地面积400亩。重点试验展示技术有：高产密植疏花疏果技术、浅埋滴灌技术。</w:t>
      </w:r>
    </w:p>
    <w:p w14:paraId="3E0B9D7F">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技术负责单位：奈曼旗农牧和科技局</w:t>
      </w:r>
    </w:p>
    <w:p w14:paraId="653A0E65">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 w:eastAsia="仿宋_GB2312"/>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指导专家：</w:t>
      </w:r>
      <w:r>
        <w:rPr>
          <w:rFonts w:hint="eastAsia" w:ascii="仿宋_GB2312" w:hAnsi="仿宋" w:eastAsia="仿宋_GB2312"/>
          <w:sz w:val="32"/>
          <w:szCs w:val="32"/>
          <w:highlight w:val="none"/>
          <w:lang w:val="en-US" w:eastAsia="zh-CN"/>
        </w:rPr>
        <w:t>李爱武 奈曼旗农畜产品质量安全中心</w:t>
      </w:r>
    </w:p>
    <w:p w14:paraId="01A1CB99">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技术人员：张龙 大沁他拉镇昂乃村</w:t>
      </w:r>
    </w:p>
    <w:p w14:paraId="435B6F4D">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场所负责人：田春红 联系电话13722055616</w:t>
      </w:r>
    </w:p>
    <w:p w14:paraId="45538309">
      <w:pPr>
        <w:pStyle w:val="2"/>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lang w:val="en-US" w:eastAsia="zh-CN"/>
        </w:rPr>
      </w:pPr>
    </w:p>
    <w:p w14:paraId="7DF288DE">
      <w:pPr>
        <w:keepNext w:val="0"/>
        <w:keepLines w:val="0"/>
        <w:pageBreakBefore w:val="0"/>
        <w:widowControl w:val="0"/>
        <w:kinsoku/>
        <w:wordWrap/>
        <w:overflowPunct/>
        <w:topLinePunct w:val="0"/>
        <w:autoSpaceDE/>
        <w:autoSpaceDN/>
        <w:bidi w:val="0"/>
        <w:adjustRightInd/>
        <w:snapToGrid/>
        <w:spacing w:line="520" w:lineRule="exact"/>
        <w:ind w:firstLine="643"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z w:val="32"/>
          <w:szCs w:val="32"/>
          <w:highlight w:val="none"/>
          <w:lang w:val="en-US" w:eastAsia="zh-CN"/>
        </w:rPr>
        <w:t>场所管理措施：</w:t>
      </w:r>
      <w:r>
        <w:rPr>
          <w:rFonts w:hint="eastAsia" w:ascii="仿宋_GB2312" w:hAnsi="仿宋_GB2312" w:eastAsia="仿宋_GB2312" w:cs="仿宋_GB2312"/>
          <w:b w:val="0"/>
          <w:bCs w:val="0"/>
          <w:sz w:val="32"/>
          <w:szCs w:val="32"/>
          <w:highlight w:val="none"/>
          <w:lang w:val="en-US" w:eastAsia="zh-CN"/>
        </w:rPr>
        <w:t>加强基地的规范化管理，使用统一的农技推广标识，竖立“全国农技推广试验示范基地”标牌，标明主导品种、主推技术、场所负责人及技术负责人等相关信息。注重新品种和新技术集成应用，每个场所制定完善的实施方案，并与农牧和科技局签订基地建设协议,总结试验展示成果，形成技术模式。每个场所内有专家、有技术人员参与管理，全程进行指导服务及相关数据采集工作。建立健全档案，如新品种记录、实施方案、操作记录、农资出入库记录、肥料和饲料应用记录、农(兽)药运用记录、举办观摩和培训记录及效益分析总结等，明确专人管理。</w:t>
      </w:r>
    </w:p>
    <w:p w14:paraId="799666E0">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通过定期组织技术指导员、</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b w:val="0"/>
          <w:bCs w:val="0"/>
          <w:sz w:val="32"/>
          <w:szCs w:val="32"/>
          <w:highlight w:val="none"/>
          <w:lang w:val="en-US" w:eastAsia="zh-CN"/>
        </w:rPr>
        <w:t>到场所进行观摩和学习，开展主导品种、主推技术、新机具引进、试验展示和技术培训工作，发挥基地的示范带动功能。努力将14个重点场所建成能够开展新品种新技术试验展示基地、农机农艺融合展示场所，农技人员、</w:t>
      </w:r>
      <w:r>
        <w:rPr>
          <w:rFonts w:hint="eastAsia" w:ascii="Times New Roman" w:hAnsi="Times New Roman" w:eastAsia="仿宋_GB2312" w:cs="Times New Roman"/>
          <w:kern w:val="2"/>
          <w:sz w:val="32"/>
          <w:szCs w:val="32"/>
          <w:highlight w:val="none"/>
          <w:lang w:val="en-US" w:eastAsia="zh-CN" w:bidi="ar-SA"/>
        </w:rPr>
        <w:t>科技展示主体</w:t>
      </w:r>
      <w:r>
        <w:rPr>
          <w:rFonts w:hint="eastAsia" w:ascii="仿宋_GB2312" w:hAnsi="仿宋_GB2312" w:eastAsia="仿宋_GB2312" w:cs="仿宋_GB2312"/>
          <w:b w:val="0"/>
          <w:bCs w:val="0"/>
          <w:sz w:val="32"/>
          <w:szCs w:val="32"/>
          <w:highlight w:val="none"/>
          <w:lang w:val="en-US" w:eastAsia="zh-CN"/>
        </w:rPr>
        <w:t>和高素质农牧民科技培训基地。同时带动全旗其他苏木镇试验展示场所建设。</w:t>
      </w:r>
    </w:p>
    <w:p w14:paraId="04559944">
      <w:pPr>
        <w:keepNext w:val="0"/>
        <w:keepLines w:val="0"/>
        <w:pageBreakBefore w:val="0"/>
        <w:widowControl w:val="0"/>
        <w:kinsoku/>
        <w:wordWrap/>
        <w:overflowPunct/>
        <w:topLinePunct w:val="0"/>
        <w:autoSpaceDE/>
        <w:autoSpaceDN/>
        <w:bidi w:val="0"/>
        <w:adjustRightInd/>
        <w:snapToGrid/>
        <w:spacing w:line="520" w:lineRule="exact"/>
        <w:ind w:firstLine="643" w:firstLineChars="200"/>
        <w:jc w:val="both"/>
        <w:textAlignment w:val="auto"/>
        <w:rPr>
          <w:rFonts w:hint="eastAsia" w:ascii="仿宋_GB2312" w:hAnsi="仿宋_GB2312" w:eastAsia="仿宋_GB2312" w:cs="仿宋_GB2312"/>
          <w:b/>
          <w:bCs/>
          <w:sz w:val="32"/>
          <w:szCs w:val="32"/>
          <w:highlight w:val="none"/>
          <w:lang w:val="en-US" w:eastAsia="zh-CN"/>
        </w:rPr>
      </w:pPr>
      <w:r>
        <w:rPr>
          <w:rFonts w:hint="eastAsia" w:ascii="仿宋_GB2312" w:hAnsi="仿宋_GB2312" w:eastAsia="仿宋_GB2312" w:cs="仿宋_GB2312"/>
          <w:b/>
          <w:bCs/>
          <w:sz w:val="32"/>
          <w:szCs w:val="32"/>
          <w:highlight w:val="none"/>
          <w:lang w:val="en-US" w:eastAsia="zh-CN"/>
        </w:rPr>
        <w:t>2.</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b w:val="0"/>
          <w:bCs w:val="0"/>
          <w:sz w:val="32"/>
          <w:szCs w:val="32"/>
          <w:highlight w:val="none"/>
          <w:lang w:val="en-US" w:eastAsia="zh-CN"/>
        </w:rPr>
        <w:t>建设</w:t>
      </w:r>
    </w:p>
    <w:p w14:paraId="613DB977">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加大对</w:t>
      </w:r>
      <w:r>
        <w:rPr>
          <w:rFonts w:hint="default" w:ascii="仿宋_GB2312" w:hAnsi="仿宋_GB2312" w:eastAsia="仿宋_GB2312" w:cs="仿宋_GB2312"/>
          <w:b w:val="0"/>
          <w:bCs w:val="0"/>
          <w:sz w:val="32"/>
          <w:szCs w:val="32"/>
          <w:highlight w:val="none"/>
          <w:lang w:val="en-US" w:eastAsia="zh-CN"/>
        </w:rPr>
        <w:t>新品种、绿色环保新技术、新模式等补助</w:t>
      </w:r>
      <w:r>
        <w:rPr>
          <w:rFonts w:hint="eastAsia" w:ascii="仿宋_GB2312" w:hAnsi="仿宋_GB2312" w:eastAsia="仿宋_GB2312" w:cs="仿宋_GB2312"/>
          <w:b w:val="0"/>
          <w:bCs w:val="0"/>
          <w:sz w:val="32"/>
          <w:szCs w:val="32"/>
          <w:highlight w:val="none"/>
          <w:lang w:val="en-US" w:eastAsia="zh-CN"/>
        </w:rPr>
        <w:t>力度，通过集中采购</w:t>
      </w:r>
      <w:r>
        <w:rPr>
          <w:rFonts w:hint="default" w:ascii="仿宋_GB2312" w:hAnsi="仿宋_GB2312" w:eastAsia="仿宋_GB2312" w:cs="仿宋_GB2312"/>
          <w:b w:val="0"/>
          <w:bCs w:val="0"/>
          <w:sz w:val="32"/>
          <w:szCs w:val="32"/>
          <w:highlight w:val="none"/>
          <w:lang w:val="en-US" w:eastAsia="zh-CN"/>
        </w:rPr>
        <w:t>绿色环保、节本降耗增效</w:t>
      </w:r>
      <w:r>
        <w:rPr>
          <w:rFonts w:hint="eastAsia" w:ascii="仿宋_GB2312" w:hAnsi="仿宋_GB2312" w:eastAsia="仿宋_GB2312" w:cs="仿宋_GB2312"/>
          <w:b w:val="0"/>
          <w:bCs w:val="0"/>
          <w:sz w:val="32"/>
          <w:szCs w:val="32"/>
          <w:highlight w:val="none"/>
          <w:lang w:val="en-US" w:eastAsia="zh-CN"/>
        </w:rPr>
        <w:t>的</w:t>
      </w:r>
      <w:r>
        <w:rPr>
          <w:rFonts w:hint="default" w:ascii="仿宋_GB2312" w:hAnsi="仿宋_GB2312" w:eastAsia="仿宋_GB2312" w:cs="仿宋_GB2312"/>
          <w:b w:val="0"/>
          <w:bCs w:val="0"/>
          <w:sz w:val="32"/>
          <w:szCs w:val="32"/>
          <w:highlight w:val="none"/>
          <w:lang w:val="en-US" w:eastAsia="zh-CN"/>
        </w:rPr>
        <w:t>新型种子（苗）、农药、肥料、饲料等</w:t>
      </w:r>
      <w:r>
        <w:rPr>
          <w:rFonts w:hint="eastAsia" w:ascii="仿宋_GB2312" w:hAnsi="仿宋_GB2312" w:eastAsia="仿宋_GB2312" w:cs="仿宋_GB2312"/>
          <w:b w:val="0"/>
          <w:bCs w:val="0"/>
          <w:sz w:val="32"/>
          <w:szCs w:val="32"/>
          <w:highlight w:val="none"/>
          <w:lang w:val="en-US" w:eastAsia="zh-CN"/>
        </w:rPr>
        <w:t>物资，发放给展示</w:t>
      </w:r>
      <w:r>
        <w:rPr>
          <w:rFonts w:hint="default" w:ascii="仿宋_GB2312" w:hAnsi="仿宋_GB2312" w:eastAsia="仿宋_GB2312" w:cs="仿宋_GB2312"/>
          <w:b w:val="0"/>
          <w:bCs w:val="0"/>
          <w:sz w:val="32"/>
          <w:szCs w:val="32"/>
          <w:highlight w:val="none"/>
          <w:lang w:val="en-US" w:eastAsia="zh-CN"/>
        </w:rPr>
        <w:t>主体</w:t>
      </w:r>
      <w:r>
        <w:rPr>
          <w:rFonts w:hint="eastAsia" w:ascii="仿宋_GB2312" w:hAnsi="仿宋_GB2312" w:eastAsia="仿宋_GB2312" w:cs="仿宋_GB2312"/>
          <w:b w:val="0"/>
          <w:bCs w:val="0"/>
          <w:sz w:val="32"/>
          <w:szCs w:val="32"/>
          <w:highlight w:val="none"/>
          <w:lang w:val="en-US" w:eastAsia="zh-CN"/>
        </w:rPr>
        <w:t>进行推广应用，加快新技术在生产实践中的应用速度，为农牧业高质量发展做出示范。</w:t>
      </w:r>
    </w:p>
    <w:p w14:paraId="6C2C7210">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全旗共遴选200户</w:t>
      </w:r>
      <w:r>
        <w:rPr>
          <w:rFonts w:hint="eastAsia" w:ascii="Times New Roman" w:hAnsi="Times New Roman" w:eastAsia="仿宋_GB2312" w:cs="Times New Roman"/>
          <w:kern w:val="2"/>
          <w:sz w:val="32"/>
          <w:szCs w:val="32"/>
          <w:highlight w:val="none"/>
          <w:lang w:val="en-US" w:eastAsia="zh-CN" w:bidi="ar-SA"/>
        </w:rPr>
        <w:t>科技展示主体</w:t>
      </w:r>
      <w:r>
        <w:rPr>
          <w:rFonts w:hint="eastAsia" w:ascii="仿宋_GB2312" w:hAnsi="仿宋_GB2312" w:eastAsia="仿宋_GB2312" w:cs="仿宋_GB2312"/>
          <w:b w:val="0"/>
          <w:bCs w:val="0"/>
          <w:sz w:val="32"/>
          <w:szCs w:val="32"/>
          <w:highlight w:val="none"/>
          <w:lang w:val="en-US" w:eastAsia="zh-CN"/>
        </w:rPr>
        <w:t>，其中种植产业100户，畜牧产业100户。遴选</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b w:val="0"/>
          <w:bCs w:val="0"/>
          <w:sz w:val="32"/>
          <w:szCs w:val="32"/>
          <w:highlight w:val="none"/>
          <w:lang w:val="en-US" w:eastAsia="zh-CN"/>
        </w:rPr>
        <w:t>的方式为村级推荐、镇级考查，最后旗级审核选定，遴选能力较强、乐于助人的种养大户、农民专业合作社骨干等新型农牧业经营主体带头人作为农业</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b w:val="0"/>
          <w:bCs w:val="0"/>
          <w:sz w:val="32"/>
          <w:szCs w:val="32"/>
          <w:highlight w:val="none"/>
          <w:lang w:val="en-US" w:eastAsia="zh-CN"/>
        </w:rPr>
        <w:t>。同时把</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b w:val="0"/>
          <w:bCs w:val="0"/>
          <w:sz w:val="32"/>
          <w:szCs w:val="32"/>
          <w:highlight w:val="none"/>
          <w:lang w:val="en-US" w:eastAsia="zh-CN"/>
        </w:rPr>
        <w:t>培育与乡村振兴和高素质农牧民培育相结合，优先选择种养大户和高素质培育农牧民学员作为</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b w:val="0"/>
          <w:bCs w:val="0"/>
          <w:sz w:val="32"/>
          <w:szCs w:val="32"/>
          <w:highlight w:val="none"/>
          <w:lang w:val="en-US" w:eastAsia="zh-CN"/>
        </w:rPr>
        <w:t>。继续完善“专家+技术指导员+科技展示场所+</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b w:val="0"/>
          <w:bCs w:val="0"/>
          <w:sz w:val="32"/>
          <w:szCs w:val="32"/>
          <w:highlight w:val="none"/>
          <w:lang w:val="en-US" w:eastAsia="zh-CN"/>
        </w:rPr>
        <w:t>”的技术服务模式，通过专家包片包基地，技术指导员包村包户，展示场所示范带动，组织观摩等方式培育</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b w:val="0"/>
          <w:bCs w:val="0"/>
          <w:sz w:val="32"/>
          <w:szCs w:val="32"/>
          <w:highlight w:val="none"/>
          <w:lang w:val="en-US" w:eastAsia="zh-CN"/>
        </w:rPr>
        <w:t>，使</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b w:val="0"/>
          <w:bCs w:val="0"/>
          <w:sz w:val="32"/>
          <w:szCs w:val="32"/>
          <w:highlight w:val="none"/>
          <w:lang w:val="en-US" w:eastAsia="zh-CN"/>
        </w:rPr>
        <w:t>能够积极应用先进实用技术，有一定的辐射带动能力，并建立</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b w:val="0"/>
          <w:bCs w:val="0"/>
          <w:sz w:val="32"/>
          <w:szCs w:val="32"/>
          <w:highlight w:val="none"/>
          <w:lang w:val="en-US" w:eastAsia="zh-CN"/>
        </w:rPr>
        <w:t>台账。</w:t>
      </w:r>
    </w:p>
    <w:p w14:paraId="6BA3C3C7">
      <w:pPr>
        <w:keepNext w:val="0"/>
        <w:keepLines w:val="0"/>
        <w:pageBreakBefore w:val="0"/>
        <w:widowControl w:val="0"/>
        <w:kinsoku/>
        <w:wordWrap/>
        <w:overflowPunct/>
        <w:topLinePunct w:val="0"/>
        <w:autoSpaceDE/>
        <w:autoSpaceDN/>
        <w:bidi w:val="0"/>
        <w:adjustRightInd/>
        <w:snapToGrid/>
        <w:spacing w:line="520" w:lineRule="exact"/>
        <w:ind w:firstLine="643" w:firstLineChars="200"/>
        <w:jc w:val="both"/>
        <w:textAlignment w:val="auto"/>
        <w:rPr>
          <w:rFonts w:hint="eastAsia" w:ascii="仿宋_GB2312" w:hAnsi="仿宋_GB2312" w:eastAsia="仿宋_GB2312" w:cs="仿宋_GB2312"/>
          <w:b/>
          <w:bCs/>
          <w:sz w:val="32"/>
          <w:szCs w:val="32"/>
          <w:highlight w:val="none"/>
          <w:lang w:val="en-US" w:eastAsia="zh-CN"/>
        </w:rPr>
      </w:pPr>
      <w:r>
        <w:rPr>
          <w:rFonts w:hint="eastAsia" w:ascii="仿宋_GB2312" w:hAnsi="仿宋_GB2312" w:eastAsia="仿宋_GB2312" w:cs="仿宋_GB2312"/>
          <w:b/>
          <w:bCs/>
          <w:sz w:val="32"/>
          <w:szCs w:val="32"/>
          <w:highlight w:val="none"/>
          <w:lang w:val="en-US" w:eastAsia="zh-CN"/>
        </w:rPr>
        <w:t>3.农技推广信息化服务建设</w:t>
      </w:r>
    </w:p>
    <w:p w14:paraId="0C87ABAA">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基层农技人员应用中国农技推广手机APP，并通过使用“中国农技推广”信息平台在线开展业务培训、问题解答、互动交流等技术服务，鼓励有需求的农牧民朋友利用信息平台获取服务信息，</w:t>
      </w:r>
      <w:r>
        <w:rPr>
          <w:rFonts w:hint="default" w:ascii="仿宋_GB2312" w:hAnsi="仿宋_GB2312" w:eastAsia="仿宋_GB2312" w:cs="仿宋_GB2312"/>
          <w:b w:val="0"/>
          <w:bCs w:val="0"/>
          <w:sz w:val="32"/>
          <w:szCs w:val="32"/>
          <w:highlight w:val="none"/>
          <w:lang w:val="en-US" w:eastAsia="zh-CN"/>
        </w:rPr>
        <w:t>承担年度任务的</w:t>
      </w:r>
      <w:r>
        <w:rPr>
          <w:rFonts w:hint="eastAsia" w:ascii="仿宋_GB2312" w:hAnsi="仿宋_GB2312" w:eastAsia="仿宋_GB2312" w:cs="仿宋_GB2312"/>
          <w:b w:val="0"/>
          <w:bCs w:val="0"/>
          <w:sz w:val="32"/>
          <w:szCs w:val="32"/>
          <w:highlight w:val="none"/>
          <w:lang w:val="en-US" w:eastAsia="zh-CN"/>
        </w:rPr>
        <w:t>技术指导员及</w:t>
      </w:r>
      <w:r>
        <w:rPr>
          <w:rFonts w:hint="default" w:ascii="仿宋_GB2312" w:hAnsi="仿宋_GB2312" w:eastAsia="仿宋_GB2312" w:cs="仿宋_GB2312"/>
          <w:b w:val="0"/>
          <w:bCs w:val="0"/>
          <w:sz w:val="32"/>
          <w:szCs w:val="32"/>
          <w:highlight w:val="none"/>
          <w:lang w:val="en-US" w:eastAsia="zh-CN"/>
        </w:rPr>
        <w:t>特聘农技员均须在中国农技推广信息平台填报服务做法和具体成效</w:t>
      </w:r>
      <w:r>
        <w:rPr>
          <w:rFonts w:hint="eastAsia" w:ascii="仿宋_GB2312" w:hAnsi="仿宋_GB2312" w:eastAsia="仿宋_GB2312" w:cs="仿宋_GB2312"/>
          <w:b w:val="0"/>
          <w:bCs w:val="0"/>
          <w:sz w:val="32"/>
          <w:szCs w:val="32"/>
          <w:highlight w:val="none"/>
          <w:lang w:val="en-US" w:eastAsia="zh-CN"/>
        </w:rPr>
        <w:t>，每人每月至少2条以上。</w:t>
      </w:r>
    </w:p>
    <w:p w14:paraId="0D7E1898">
      <w:pPr>
        <w:keepNext w:val="0"/>
        <w:keepLines w:val="0"/>
        <w:pageBreakBefore w:val="0"/>
        <w:widowControl w:val="0"/>
        <w:kinsoku/>
        <w:wordWrap/>
        <w:overflowPunct/>
        <w:topLinePunct w:val="0"/>
        <w:autoSpaceDE/>
        <w:autoSpaceDN/>
        <w:bidi w:val="0"/>
        <w:adjustRightInd/>
        <w:snapToGrid/>
        <w:spacing w:line="520" w:lineRule="exact"/>
        <w:ind w:firstLine="643" w:firstLineChars="200"/>
        <w:jc w:val="both"/>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highlight w:val="none"/>
          <w:lang w:val="en-US" w:eastAsia="zh-CN"/>
        </w:rPr>
        <w:t>（三）</w:t>
      </w:r>
      <w:r>
        <w:rPr>
          <w:rFonts w:hint="eastAsia" w:ascii="楷体_GB2312" w:hAnsi="楷体_GB2312" w:eastAsia="楷体_GB2312" w:cs="楷体_GB2312"/>
          <w:b/>
          <w:bCs/>
          <w:sz w:val="32"/>
          <w:szCs w:val="32"/>
        </w:rPr>
        <w:t>农业技术人员能力建设</w:t>
      </w:r>
    </w:p>
    <w:p w14:paraId="5169DEDB">
      <w:pPr>
        <w:keepNext w:val="0"/>
        <w:keepLines w:val="0"/>
        <w:pageBreakBefore w:val="0"/>
        <w:widowControl w:val="0"/>
        <w:kinsoku/>
        <w:wordWrap/>
        <w:overflowPunct/>
        <w:topLinePunct w:val="0"/>
        <w:autoSpaceDE/>
        <w:autoSpaceDN/>
        <w:bidi w:val="0"/>
        <w:adjustRightInd/>
        <w:snapToGrid/>
        <w:spacing w:line="520" w:lineRule="exact"/>
        <w:ind w:firstLine="643" w:firstLineChars="200"/>
        <w:jc w:val="both"/>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bCs/>
          <w:sz w:val="32"/>
          <w:szCs w:val="32"/>
          <w:highlight w:val="none"/>
          <w:lang w:val="en-US" w:eastAsia="zh-CN"/>
        </w:rPr>
        <w:t>加强基层农技人员专业培训。</w:t>
      </w:r>
      <w:r>
        <w:rPr>
          <w:rFonts w:hint="eastAsia" w:ascii="仿宋_GB2312" w:hAnsi="仿宋_GB2312" w:eastAsia="仿宋_GB2312" w:cs="仿宋_GB2312"/>
          <w:b w:val="0"/>
          <w:bCs w:val="0"/>
          <w:sz w:val="32"/>
          <w:szCs w:val="32"/>
          <w:highlight w:val="none"/>
          <w:lang w:val="en-US" w:eastAsia="zh-CN"/>
        </w:rPr>
        <w:t>选派</w:t>
      </w:r>
      <w:r>
        <w:rPr>
          <w:rFonts w:hint="eastAsia" w:ascii="仿宋_GB2312" w:hAnsi="仿宋_GB2312" w:eastAsia="仿宋_GB2312" w:cs="仿宋_GB2312"/>
          <w:color w:val="000000" w:themeColor="text1"/>
          <w:kern w:val="0"/>
          <w:sz w:val="32"/>
          <w:szCs w:val="32"/>
          <w:shd w:val="clear"/>
          <w:lang w:val="en-US" w:eastAsia="zh-CN" w:bidi="ar-SA"/>
          <w14:textFill>
            <w14:solidFill>
              <w14:schemeClr w14:val="tx1"/>
            </w14:solidFill>
          </w14:textFill>
        </w:rPr>
        <w:t>113</w:t>
      </w:r>
      <w:r>
        <w:rPr>
          <w:rFonts w:hint="eastAsia" w:ascii="仿宋_GB2312" w:hAnsi="仿宋_GB2312" w:eastAsia="仿宋_GB2312" w:cs="仿宋_GB2312"/>
          <w:b w:val="0"/>
          <w:bCs w:val="0"/>
          <w:sz w:val="32"/>
          <w:szCs w:val="32"/>
          <w:highlight w:val="none"/>
          <w:lang w:val="en-US" w:eastAsia="zh-CN"/>
        </w:rPr>
        <w:t>名农牧业技术人员参加区、市两级培训。同时根据产业发展需要和农业生产周期，利用农闲季节，组织举办全旗基层农技人员和</w:t>
      </w:r>
      <w:r>
        <w:rPr>
          <w:rFonts w:hint="eastAsia" w:ascii="Times New Roman" w:hAnsi="Times New Roman" w:eastAsia="仿宋_GB2312" w:cs="Times New Roman"/>
          <w:kern w:val="2"/>
          <w:sz w:val="32"/>
          <w:szCs w:val="32"/>
          <w:lang w:val="en-US" w:eastAsia="zh-CN" w:bidi="ar-SA"/>
        </w:rPr>
        <w:t>展示主体</w:t>
      </w:r>
      <w:r>
        <w:rPr>
          <w:rFonts w:hint="eastAsia" w:ascii="仿宋_GB2312" w:hAnsi="仿宋_GB2312" w:eastAsia="仿宋_GB2312" w:cs="仿宋_GB2312"/>
          <w:b w:val="0"/>
          <w:bCs w:val="0"/>
          <w:sz w:val="32"/>
          <w:szCs w:val="32"/>
          <w:highlight w:val="none"/>
          <w:lang w:val="en-US" w:eastAsia="zh-CN"/>
        </w:rPr>
        <w:t>负责人培训班2次以上，培训300人次以上，聘请相关专家学者到旗内讲座，在提高农技人员业务素质和综合能力的同时，普遍提高</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b w:val="0"/>
          <w:bCs w:val="0"/>
          <w:sz w:val="32"/>
          <w:szCs w:val="32"/>
          <w:highlight w:val="none"/>
          <w:lang w:val="en-US" w:eastAsia="zh-CN"/>
        </w:rPr>
        <w:t>的种养水平，发挥辐射带动作用。</w:t>
      </w:r>
    </w:p>
    <w:p w14:paraId="44A59909">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四、补助内容和经费使用安排</w:t>
      </w:r>
    </w:p>
    <w:p w14:paraId="42E27A86">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基层农技推广补助项目总金额</w:t>
      </w:r>
      <w:r>
        <w:rPr>
          <w:rFonts w:hint="eastAsia" w:ascii="仿宋_GB2312" w:hAnsi="仿宋_GB2312" w:eastAsia="仿宋_GB2312" w:cs="仿宋_GB2312"/>
          <w:sz w:val="32"/>
          <w:szCs w:val="32"/>
          <w:lang w:val="en-US" w:eastAsia="zh-CN"/>
        </w:rPr>
        <w:t>133</w:t>
      </w:r>
      <w:r>
        <w:rPr>
          <w:rFonts w:hint="eastAsia" w:ascii="仿宋_GB2312" w:hAnsi="仿宋_GB2312" w:eastAsia="仿宋_GB2312" w:cs="仿宋_GB2312"/>
          <w:sz w:val="32"/>
          <w:szCs w:val="32"/>
        </w:rPr>
        <w:t>万元，具体使用安排如下：</w:t>
      </w:r>
    </w:p>
    <w:p w14:paraId="7ABBB287">
      <w:pPr>
        <w:keepNext w:val="0"/>
        <w:keepLines w:val="0"/>
        <w:pageBreakBefore w:val="0"/>
        <w:widowControl w:val="0"/>
        <w:kinsoku/>
        <w:wordWrap/>
        <w:overflowPunct/>
        <w:topLinePunct w:val="0"/>
        <w:autoSpaceDE/>
        <w:autoSpaceDN/>
        <w:bidi w:val="0"/>
        <w:adjustRightInd/>
        <w:snapToGrid/>
        <w:spacing w:line="520" w:lineRule="exact"/>
        <w:ind w:firstLine="643" w:firstLineChars="200"/>
        <w:textAlignment w:val="auto"/>
        <w:rPr>
          <w:rFonts w:hint="eastAsia" w:ascii="楷体_GB2312" w:hAnsi="楷体_GB2312" w:eastAsia="楷体_GB2312" w:cs="楷体_GB2312"/>
          <w:b/>
          <w:bCs/>
          <w:sz w:val="32"/>
          <w:szCs w:val="32"/>
          <w:highlight w:val="none"/>
        </w:rPr>
      </w:pPr>
      <w:r>
        <w:rPr>
          <w:rFonts w:hint="eastAsia" w:ascii="楷体_GB2312" w:hAnsi="楷体_GB2312" w:eastAsia="楷体_GB2312" w:cs="楷体_GB2312"/>
          <w:b/>
          <w:bCs/>
          <w:sz w:val="32"/>
          <w:szCs w:val="32"/>
          <w:highlight w:val="none"/>
        </w:rPr>
        <w:t>（一）</w:t>
      </w:r>
      <w:r>
        <w:rPr>
          <w:rFonts w:hint="eastAsia" w:ascii="楷体_GB2312" w:hAnsi="楷体_GB2312" w:eastAsia="楷体_GB2312" w:cs="楷体_GB2312"/>
          <w:b/>
          <w:bCs/>
          <w:sz w:val="32"/>
          <w:szCs w:val="32"/>
          <w:highlight w:val="none"/>
          <w:lang w:eastAsia="zh-CN"/>
        </w:rPr>
        <w:t>农业</w:t>
      </w:r>
      <w:r>
        <w:rPr>
          <w:rFonts w:hint="eastAsia" w:ascii="楷体_GB2312" w:hAnsi="楷体_GB2312" w:eastAsia="楷体_GB2312" w:cs="楷体_GB2312"/>
          <w:b/>
          <w:bCs/>
          <w:sz w:val="32"/>
          <w:szCs w:val="32"/>
          <w:highlight w:val="none"/>
        </w:rPr>
        <w:t xml:space="preserve">技术推广服务补助安排资金 </w:t>
      </w:r>
      <w:r>
        <w:rPr>
          <w:rFonts w:hint="eastAsia" w:ascii="楷体_GB2312" w:hAnsi="楷体_GB2312" w:eastAsia="楷体_GB2312" w:cs="楷体_GB2312"/>
          <w:b/>
          <w:bCs/>
          <w:sz w:val="32"/>
          <w:szCs w:val="32"/>
          <w:highlight w:val="none"/>
          <w:lang w:val="en-US" w:eastAsia="zh-CN"/>
        </w:rPr>
        <w:t>34</w:t>
      </w:r>
      <w:r>
        <w:rPr>
          <w:rFonts w:hint="eastAsia" w:ascii="楷体_GB2312" w:hAnsi="楷体_GB2312" w:eastAsia="楷体_GB2312" w:cs="楷体_GB2312"/>
          <w:b/>
          <w:bCs/>
          <w:sz w:val="32"/>
          <w:szCs w:val="32"/>
          <w:highlight w:val="none"/>
        </w:rPr>
        <w:t>万元</w:t>
      </w:r>
      <w:r>
        <w:rPr>
          <w:rFonts w:hint="eastAsia" w:ascii="楷体_GB2312" w:hAnsi="楷体_GB2312" w:eastAsia="楷体_GB2312" w:cs="楷体_GB2312"/>
          <w:b/>
          <w:bCs/>
          <w:sz w:val="32"/>
          <w:szCs w:val="32"/>
          <w:highlight w:val="none"/>
          <w:lang w:eastAsia="zh-CN"/>
        </w:rPr>
        <w:t>，</w:t>
      </w:r>
      <w:r>
        <w:rPr>
          <w:rFonts w:hint="eastAsia" w:ascii="楷体_GB2312" w:hAnsi="楷体_GB2312" w:eastAsia="楷体_GB2312" w:cs="楷体_GB2312"/>
          <w:b/>
          <w:bCs/>
          <w:sz w:val="32"/>
          <w:szCs w:val="32"/>
          <w:highlight w:val="none"/>
          <w:lang w:val="en-US" w:eastAsia="zh-CN"/>
        </w:rPr>
        <w:t>占比25</w:t>
      </w:r>
      <w:r>
        <w:rPr>
          <w:rFonts w:hint="eastAsia" w:ascii="楷体_GB2312" w:hAnsi="楷体_GB2312" w:eastAsia="楷体_GB2312" w:cs="楷体_GB2312"/>
          <w:b/>
          <w:bCs/>
          <w:sz w:val="32"/>
          <w:szCs w:val="32"/>
          <w:highlight w:val="none"/>
        </w:rPr>
        <w:t>%。</w:t>
      </w:r>
    </w:p>
    <w:p w14:paraId="3460E23C">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highlight w:val="none"/>
        </w:rPr>
        <w:t>1.农技人员</w:t>
      </w:r>
      <w:r>
        <w:rPr>
          <w:rFonts w:hint="eastAsia" w:ascii="仿宋_GB2312" w:hAnsi="仿宋_GB2312" w:eastAsia="仿宋_GB2312" w:cs="仿宋_GB2312"/>
          <w:sz w:val="32"/>
          <w:szCs w:val="32"/>
        </w:rPr>
        <w:t>下乡补助和绩效奖励</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万元。主要用于农技人员和专家进村入户开展技术指导服务补助及所需交通费、差旅费等费用补助。</w:t>
      </w:r>
    </w:p>
    <w:p w14:paraId="1C61B165">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2.农技推广服务特聘计划补助，主要用于</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名特聘农技员提供技术指导、咨询服务提供技术帮扶、与基层农技人员结对开展农技服务，增强农技人员专业技能和实操水平等补助。资金</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万元。</w:t>
      </w:r>
    </w:p>
    <w:p w14:paraId="2DA3B686">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3.聘请专家补助</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万元。用于聘请旗内专家费用及外聘专家讲课、食宿及交通费用等。</w:t>
      </w:r>
    </w:p>
    <w:p w14:paraId="3810357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rPr>
        <w:t>4.技术资料印刷、制度建设、宣传报道及工作考评等管理费用</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highlight w:val="none"/>
        </w:rPr>
        <w:t>。</w:t>
      </w:r>
    </w:p>
    <w:p w14:paraId="215CCE39">
      <w:pPr>
        <w:keepNext w:val="0"/>
        <w:keepLines w:val="0"/>
        <w:pageBreakBefore w:val="0"/>
        <w:widowControl w:val="0"/>
        <w:kinsoku/>
        <w:wordWrap/>
        <w:overflowPunct/>
        <w:topLinePunct w:val="0"/>
        <w:autoSpaceDE/>
        <w:autoSpaceDN/>
        <w:bidi w:val="0"/>
        <w:adjustRightInd/>
        <w:snapToGrid/>
        <w:spacing w:line="520" w:lineRule="exact"/>
        <w:ind w:firstLine="643" w:firstLineChars="200"/>
        <w:textAlignment w:val="auto"/>
        <w:rPr>
          <w:rFonts w:hint="eastAsia" w:ascii="楷体_GB2312" w:hAnsi="楷体_GB2312" w:eastAsia="楷体_GB2312" w:cs="楷体_GB2312"/>
          <w:b/>
          <w:bCs/>
          <w:sz w:val="32"/>
          <w:szCs w:val="32"/>
          <w:highlight w:val="none"/>
        </w:rPr>
      </w:pPr>
      <w:r>
        <w:rPr>
          <w:rFonts w:hint="eastAsia" w:ascii="楷体_GB2312" w:hAnsi="楷体_GB2312" w:eastAsia="楷体_GB2312" w:cs="楷体_GB2312"/>
          <w:b/>
          <w:bCs/>
          <w:sz w:val="32"/>
          <w:szCs w:val="32"/>
          <w:highlight w:val="none"/>
        </w:rPr>
        <w:t>（二）农牧业科技示范补助安排资金</w:t>
      </w:r>
      <w:r>
        <w:rPr>
          <w:rFonts w:hint="eastAsia" w:ascii="楷体_GB2312" w:hAnsi="楷体_GB2312" w:eastAsia="楷体_GB2312" w:cs="楷体_GB2312"/>
          <w:b/>
          <w:bCs/>
          <w:sz w:val="32"/>
          <w:szCs w:val="32"/>
          <w:highlight w:val="none"/>
          <w:lang w:val="en-US" w:eastAsia="zh-CN"/>
        </w:rPr>
        <w:t>81</w:t>
      </w:r>
      <w:r>
        <w:rPr>
          <w:rFonts w:hint="eastAsia" w:ascii="楷体_GB2312" w:hAnsi="楷体_GB2312" w:eastAsia="楷体_GB2312" w:cs="楷体_GB2312"/>
          <w:b/>
          <w:bCs/>
          <w:sz w:val="32"/>
          <w:szCs w:val="32"/>
          <w:highlight w:val="none"/>
        </w:rPr>
        <w:t>万元</w:t>
      </w:r>
      <w:r>
        <w:rPr>
          <w:rFonts w:hint="eastAsia" w:ascii="楷体_GB2312" w:hAnsi="楷体_GB2312" w:eastAsia="楷体_GB2312" w:cs="楷体_GB2312"/>
          <w:b/>
          <w:bCs/>
          <w:sz w:val="32"/>
          <w:szCs w:val="32"/>
          <w:highlight w:val="none"/>
          <w:lang w:eastAsia="zh-CN"/>
        </w:rPr>
        <w:t>，</w:t>
      </w:r>
      <w:r>
        <w:rPr>
          <w:rFonts w:hint="eastAsia" w:ascii="楷体_GB2312" w:hAnsi="楷体_GB2312" w:eastAsia="楷体_GB2312" w:cs="楷体_GB2312"/>
          <w:b/>
          <w:bCs/>
          <w:sz w:val="32"/>
          <w:szCs w:val="32"/>
          <w:highlight w:val="none"/>
          <w:lang w:val="en-US" w:eastAsia="zh-CN"/>
        </w:rPr>
        <w:t>占比61</w:t>
      </w:r>
      <w:r>
        <w:rPr>
          <w:rFonts w:hint="eastAsia" w:ascii="楷体_GB2312" w:hAnsi="楷体_GB2312" w:eastAsia="楷体_GB2312" w:cs="楷体_GB2312"/>
          <w:b/>
          <w:bCs/>
          <w:sz w:val="32"/>
          <w:szCs w:val="32"/>
          <w:highlight w:val="none"/>
        </w:rPr>
        <w:t>%。</w:t>
      </w:r>
    </w:p>
    <w:p w14:paraId="2B47299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highlight w:val="none"/>
        </w:rPr>
        <w:t>1.农业科技试验</w:t>
      </w:r>
      <w:r>
        <w:rPr>
          <w:rFonts w:hint="eastAsia" w:ascii="仿宋_GB2312" w:hAnsi="仿宋_GB2312" w:eastAsia="仿宋_GB2312" w:cs="仿宋_GB2312"/>
          <w:sz w:val="32"/>
          <w:szCs w:val="32"/>
          <w:highlight w:val="none"/>
          <w:lang w:val="en-US" w:eastAsia="zh-CN"/>
        </w:rPr>
        <w:t>展示场所</w:t>
      </w:r>
      <w:r>
        <w:rPr>
          <w:rFonts w:hint="eastAsia" w:ascii="仿宋_GB2312" w:hAnsi="仿宋_GB2312" w:eastAsia="仿宋_GB2312" w:cs="仿宋_GB2312"/>
          <w:sz w:val="32"/>
          <w:szCs w:val="32"/>
          <w:highlight w:val="none"/>
        </w:rPr>
        <w:t>建设补助</w:t>
      </w:r>
      <w:r>
        <w:rPr>
          <w:rFonts w:hint="eastAsia" w:ascii="仿宋_GB2312" w:hAnsi="仿宋_GB2312" w:eastAsia="仿宋_GB2312" w:cs="仿宋_GB2312"/>
          <w:sz w:val="32"/>
          <w:szCs w:val="32"/>
          <w:highlight w:val="none"/>
          <w:lang w:val="en-US" w:eastAsia="zh-CN"/>
        </w:rPr>
        <w:t>70万元</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基地补助</w:t>
      </w:r>
      <w:r>
        <w:rPr>
          <w:rFonts w:hint="eastAsia" w:ascii="仿宋_GB2312" w:hAnsi="仿宋_GB2312" w:eastAsia="仿宋_GB2312" w:cs="仿宋_GB2312"/>
          <w:sz w:val="32"/>
          <w:szCs w:val="32"/>
          <w:highlight w:val="none"/>
        </w:rPr>
        <w:t>主要用于试验</w:t>
      </w:r>
      <w:r>
        <w:rPr>
          <w:rFonts w:hint="eastAsia" w:ascii="仿宋_GB2312" w:hAnsi="仿宋_GB2312" w:eastAsia="仿宋_GB2312" w:cs="仿宋_GB2312"/>
          <w:sz w:val="32"/>
          <w:szCs w:val="32"/>
          <w:highlight w:val="none"/>
          <w:lang w:val="en-US" w:eastAsia="zh-CN"/>
        </w:rPr>
        <w:t>展示场所</w:t>
      </w:r>
      <w:r>
        <w:rPr>
          <w:rFonts w:hint="eastAsia" w:ascii="仿宋_GB2312" w:hAnsi="仿宋_GB2312" w:eastAsia="仿宋_GB2312" w:cs="仿宋_GB2312"/>
          <w:sz w:val="32"/>
          <w:szCs w:val="32"/>
          <w:highlight w:val="none"/>
        </w:rPr>
        <w:t>建设和有建设意愿的苏木乡镇建设标准化</w:t>
      </w:r>
      <w:r>
        <w:rPr>
          <w:rFonts w:hint="eastAsia" w:ascii="仿宋_GB2312" w:hAnsi="仿宋_GB2312" w:eastAsia="仿宋_GB2312" w:cs="仿宋_GB2312"/>
          <w:sz w:val="32"/>
          <w:szCs w:val="32"/>
          <w:highlight w:val="none"/>
          <w:lang w:val="en-US" w:eastAsia="zh-CN"/>
        </w:rPr>
        <w:t>展示场所</w:t>
      </w:r>
      <w:r>
        <w:rPr>
          <w:rFonts w:hint="eastAsia" w:ascii="仿宋_GB2312" w:hAnsi="仿宋_GB2312" w:eastAsia="仿宋_GB2312" w:cs="仿宋_GB2312"/>
          <w:sz w:val="32"/>
          <w:szCs w:val="32"/>
          <w:highlight w:val="none"/>
        </w:rPr>
        <w:t>，开</w:t>
      </w:r>
      <w:r>
        <w:rPr>
          <w:rFonts w:hint="eastAsia" w:ascii="仿宋_GB2312" w:hAnsi="仿宋_GB2312" w:eastAsia="仿宋_GB2312" w:cs="仿宋_GB2312"/>
          <w:sz w:val="32"/>
          <w:szCs w:val="32"/>
        </w:rPr>
        <w:t>展新品种、新技术试验示范所用种子、农（兽）药、化肥、饲料、</w:t>
      </w:r>
      <w:r>
        <w:rPr>
          <w:rFonts w:hint="eastAsia" w:ascii="仿宋_GB2312" w:hAnsi="仿宋_GB2312" w:eastAsia="仿宋_GB2312" w:cs="仿宋_GB2312"/>
          <w:sz w:val="32"/>
          <w:szCs w:val="32"/>
          <w:lang w:eastAsia="zh-CN"/>
        </w:rPr>
        <w:t>氨基酸肥料、</w:t>
      </w:r>
      <w:r>
        <w:rPr>
          <w:rFonts w:hint="eastAsia" w:ascii="仿宋_GB2312" w:hAnsi="仿宋_GB2312" w:eastAsia="仿宋_GB2312" w:cs="仿宋_GB2312"/>
          <w:sz w:val="32"/>
          <w:szCs w:val="32"/>
        </w:rPr>
        <w:t>试验用小型装备等物资投入及组织观摩展示活动及标准化管理等投入。</w:t>
      </w:r>
    </w:p>
    <w:p w14:paraId="47EE181E">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2.农业</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sz w:val="32"/>
          <w:szCs w:val="32"/>
        </w:rPr>
        <w:t>的物化技术补助</w:t>
      </w:r>
      <w:r>
        <w:rPr>
          <w:rFonts w:hint="eastAsia" w:ascii="仿宋_GB2312" w:hAnsi="仿宋_GB2312" w:eastAsia="仿宋_GB2312" w:cs="仿宋_GB2312"/>
          <w:sz w:val="32"/>
          <w:szCs w:val="32"/>
          <w:lang w:val="en-US" w:eastAsia="zh-CN"/>
        </w:rPr>
        <w:t>8万元</w:t>
      </w:r>
      <w:r>
        <w:rPr>
          <w:rFonts w:hint="eastAsia" w:ascii="仿宋_GB2312" w:hAnsi="仿宋_GB2312" w:eastAsia="仿宋_GB2312" w:cs="仿宋_GB2312"/>
          <w:sz w:val="32"/>
          <w:szCs w:val="32"/>
        </w:rPr>
        <w:t>，主要</w:t>
      </w:r>
      <w:r>
        <w:rPr>
          <w:rFonts w:hint="eastAsia" w:ascii="仿宋_GB2312" w:hAnsi="仿宋_GB2312" w:eastAsia="仿宋_GB2312" w:cs="仿宋_GB2312"/>
          <w:sz w:val="32"/>
          <w:szCs w:val="32"/>
          <w:highlight w:val="none"/>
        </w:rPr>
        <w:t>用于农业</w:t>
      </w:r>
      <w:r>
        <w:rPr>
          <w:rFonts w:hint="eastAsia" w:ascii="Times New Roman" w:hAnsi="Times New Roman" w:eastAsia="仿宋_GB2312" w:cs="Times New Roman"/>
          <w:kern w:val="2"/>
          <w:sz w:val="32"/>
          <w:szCs w:val="32"/>
          <w:highlight w:val="none"/>
          <w:lang w:val="en-US" w:eastAsia="zh-CN" w:bidi="ar-SA"/>
        </w:rPr>
        <w:t>科技展示主体</w:t>
      </w:r>
      <w:r>
        <w:rPr>
          <w:rFonts w:hint="eastAsia" w:ascii="仿宋_GB2312" w:hAnsi="仿宋_GB2312" w:eastAsia="仿宋_GB2312" w:cs="仿宋_GB2312"/>
          <w:sz w:val="32"/>
          <w:szCs w:val="32"/>
          <w:highlight w:val="none"/>
        </w:rPr>
        <w:t>采用新品种、新技术的种子种畜、肥料、农</w:t>
      </w:r>
      <w:r>
        <w:rPr>
          <w:rFonts w:hint="eastAsia" w:ascii="仿宋_GB2312" w:hAnsi="仿宋_GB2312" w:eastAsia="仿宋_GB2312" w:cs="仿宋_GB2312"/>
          <w:sz w:val="32"/>
          <w:szCs w:val="32"/>
        </w:rPr>
        <w:t>(兽)药、饲料、小型器械等物化技术补助。</w:t>
      </w:r>
    </w:p>
    <w:p w14:paraId="6D5CE08D">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3.农技人员使用“中国农技推广APP”采集信息上报等</w:t>
      </w:r>
      <w:r>
        <w:rPr>
          <w:rFonts w:hint="eastAsia" w:ascii="仿宋_GB2312" w:hAnsi="仿宋_GB2312" w:eastAsia="仿宋_GB2312" w:cs="仿宋_GB2312"/>
          <w:sz w:val="32"/>
          <w:szCs w:val="32"/>
          <w:lang w:val="en-US" w:eastAsia="zh-CN"/>
        </w:rPr>
        <w:t>APP使用费</w:t>
      </w:r>
      <w:r>
        <w:rPr>
          <w:rFonts w:hint="eastAsia" w:ascii="仿宋_GB2312" w:hAnsi="仿宋_GB2312" w:eastAsia="仿宋_GB2312" w:cs="仿宋_GB2312"/>
          <w:sz w:val="32"/>
          <w:szCs w:val="32"/>
        </w:rPr>
        <w:t>、信息管理费用</w:t>
      </w:r>
      <w:r>
        <w:rPr>
          <w:rFonts w:hint="eastAsia" w:ascii="仿宋_GB2312" w:hAnsi="仿宋_GB2312" w:eastAsia="仿宋_GB2312" w:cs="仿宋_GB2312"/>
          <w:sz w:val="32"/>
          <w:szCs w:val="32"/>
          <w:lang w:val="en-US" w:eastAsia="zh-CN"/>
        </w:rPr>
        <w:t>3万元</w:t>
      </w:r>
      <w:r>
        <w:rPr>
          <w:rFonts w:hint="eastAsia" w:ascii="仿宋_GB2312" w:hAnsi="仿宋_GB2312" w:eastAsia="仿宋_GB2312" w:cs="仿宋_GB2312"/>
          <w:sz w:val="32"/>
          <w:szCs w:val="32"/>
        </w:rPr>
        <w:t>。</w:t>
      </w:r>
    </w:p>
    <w:p w14:paraId="686B1735">
      <w:pPr>
        <w:keepNext w:val="0"/>
        <w:keepLines w:val="0"/>
        <w:pageBreakBefore w:val="0"/>
        <w:widowControl w:val="0"/>
        <w:kinsoku/>
        <w:wordWrap/>
        <w:overflowPunct/>
        <w:topLinePunct w:val="0"/>
        <w:autoSpaceDE/>
        <w:autoSpaceDN/>
        <w:bidi w:val="0"/>
        <w:adjustRightInd/>
        <w:snapToGrid/>
        <w:spacing w:line="520" w:lineRule="exact"/>
        <w:ind w:firstLine="643" w:firstLineChars="200"/>
        <w:textAlignment w:val="auto"/>
        <w:rPr>
          <w:rFonts w:hint="eastAsia" w:ascii="楷体_GB2312" w:hAnsi="楷体_GB2312" w:eastAsia="楷体_GB2312" w:cs="楷体_GB2312"/>
          <w:b/>
          <w:bCs/>
          <w:sz w:val="32"/>
          <w:szCs w:val="32"/>
          <w:highlight w:val="yellow"/>
        </w:rPr>
      </w:pPr>
      <w:r>
        <w:rPr>
          <w:rFonts w:hint="eastAsia" w:ascii="楷体_GB2312" w:hAnsi="楷体_GB2312" w:eastAsia="楷体_GB2312" w:cs="楷体_GB2312"/>
          <w:b/>
          <w:bCs/>
          <w:sz w:val="32"/>
          <w:szCs w:val="32"/>
        </w:rPr>
        <w:t>（三</w:t>
      </w:r>
      <w:r>
        <w:rPr>
          <w:rFonts w:hint="eastAsia" w:ascii="楷体_GB2312" w:hAnsi="楷体_GB2312" w:eastAsia="楷体_GB2312" w:cs="楷体_GB2312"/>
          <w:b/>
          <w:bCs/>
          <w:sz w:val="32"/>
          <w:szCs w:val="32"/>
          <w:highlight w:val="none"/>
        </w:rPr>
        <w:t>）农业技术人员能力建设补助安排资金</w:t>
      </w:r>
      <w:r>
        <w:rPr>
          <w:rFonts w:hint="eastAsia" w:ascii="楷体_GB2312" w:hAnsi="楷体_GB2312" w:eastAsia="楷体_GB2312" w:cs="楷体_GB2312"/>
          <w:b/>
          <w:bCs/>
          <w:sz w:val="32"/>
          <w:szCs w:val="32"/>
          <w:highlight w:val="none"/>
          <w:lang w:val="en-US" w:eastAsia="zh-CN"/>
        </w:rPr>
        <w:t>18</w:t>
      </w:r>
      <w:r>
        <w:rPr>
          <w:rFonts w:hint="eastAsia" w:ascii="楷体_GB2312" w:hAnsi="楷体_GB2312" w:eastAsia="楷体_GB2312" w:cs="楷体_GB2312"/>
          <w:b/>
          <w:bCs/>
          <w:sz w:val="32"/>
          <w:szCs w:val="32"/>
          <w:highlight w:val="none"/>
        </w:rPr>
        <w:t>万元</w:t>
      </w:r>
      <w:r>
        <w:rPr>
          <w:rFonts w:hint="eastAsia" w:ascii="楷体_GB2312" w:hAnsi="楷体_GB2312" w:eastAsia="楷体_GB2312" w:cs="楷体_GB2312"/>
          <w:b/>
          <w:bCs/>
          <w:sz w:val="32"/>
          <w:szCs w:val="32"/>
          <w:highlight w:val="none"/>
          <w:lang w:eastAsia="zh-CN"/>
        </w:rPr>
        <w:t>，</w:t>
      </w:r>
      <w:r>
        <w:rPr>
          <w:rFonts w:hint="eastAsia" w:ascii="楷体_GB2312" w:hAnsi="楷体_GB2312" w:eastAsia="楷体_GB2312" w:cs="楷体_GB2312"/>
          <w:b/>
          <w:bCs/>
          <w:sz w:val="32"/>
          <w:szCs w:val="32"/>
          <w:highlight w:val="none"/>
          <w:lang w:val="en-US" w:eastAsia="zh-CN"/>
        </w:rPr>
        <w:t>占比14</w:t>
      </w:r>
      <w:r>
        <w:rPr>
          <w:rFonts w:hint="eastAsia" w:ascii="楷体_GB2312" w:hAnsi="楷体_GB2312" w:eastAsia="楷体_GB2312" w:cs="楷体_GB2312"/>
          <w:b/>
          <w:bCs/>
          <w:sz w:val="32"/>
          <w:szCs w:val="32"/>
          <w:highlight w:val="none"/>
        </w:rPr>
        <w:t>%。</w:t>
      </w:r>
    </w:p>
    <w:p w14:paraId="3280DDFC">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主要用于农技</w:t>
      </w:r>
      <w:r>
        <w:rPr>
          <w:rFonts w:hint="eastAsia" w:ascii="仿宋_GB2312" w:hAnsi="仿宋_GB2312" w:eastAsia="仿宋_GB2312" w:cs="仿宋_GB2312"/>
          <w:sz w:val="32"/>
          <w:szCs w:val="32"/>
          <w:lang w:val="en-US" w:eastAsia="zh-CN"/>
        </w:rPr>
        <w:t>人员</w:t>
      </w:r>
      <w:r>
        <w:rPr>
          <w:rFonts w:hint="eastAsia" w:ascii="仿宋_GB2312" w:hAnsi="仿宋_GB2312" w:eastAsia="仿宋_GB2312" w:cs="仿宋_GB2312"/>
          <w:sz w:val="32"/>
          <w:szCs w:val="32"/>
        </w:rPr>
        <w:t>知识更新费用，</w:t>
      </w:r>
      <w:r>
        <w:rPr>
          <w:rFonts w:hint="eastAsia" w:ascii="仿宋_GB2312" w:hAnsi="仿宋_GB2312" w:eastAsia="仿宋_GB2312" w:cs="仿宋_GB2312"/>
          <w:sz w:val="32"/>
          <w:szCs w:val="32"/>
          <w:lang w:val="en-US" w:eastAsia="zh-CN"/>
        </w:rPr>
        <w:t>组织旗乡农牧专家、</w:t>
      </w:r>
      <w:r>
        <w:rPr>
          <w:rFonts w:hint="eastAsia" w:ascii="仿宋_GB2312" w:hAnsi="仿宋_GB2312" w:eastAsia="仿宋_GB2312" w:cs="仿宋_GB2312"/>
          <w:sz w:val="32"/>
          <w:szCs w:val="32"/>
        </w:rPr>
        <w:t>农技人员参加异地培训、集中办班、现场实训、网络培训等所需的学费、教材费、场地费、</w:t>
      </w:r>
      <w:r>
        <w:rPr>
          <w:rFonts w:hint="eastAsia" w:ascii="仿宋_GB2312" w:hAnsi="仿宋_GB2312" w:eastAsia="仿宋_GB2312" w:cs="仿宋_GB2312"/>
          <w:sz w:val="32"/>
          <w:szCs w:val="32"/>
          <w:lang w:eastAsia="zh-CN"/>
        </w:rPr>
        <w:t>差</w:t>
      </w:r>
      <w:r>
        <w:rPr>
          <w:rFonts w:hint="eastAsia" w:ascii="仿宋_GB2312" w:hAnsi="仿宋_GB2312" w:eastAsia="仿宋_GB2312" w:cs="仿宋_GB2312"/>
          <w:sz w:val="32"/>
          <w:szCs w:val="32"/>
        </w:rPr>
        <w:t>旅费、食宿费、交通费、讲课费等</w:t>
      </w:r>
      <w:r>
        <w:rPr>
          <w:rFonts w:hint="eastAsia" w:ascii="仿宋_GB2312" w:hAnsi="仿宋_GB2312" w:eastAsia="仿宋_GB2312" w:cs="仿宋_GB2312"/>
          <w:sz w:val="32"/>
          <w:szCs w:val="32"/>
          <w:lang w:eastAsia="zh-CN"/>
        </w:rPr>
        <w:t>；组织</w:t>
      </w:r>
      <w:r>
        <w:rPr>
          <w:rFonts w:hint="eastAsia" w:ascii="仿宋_GB2312" w:hAnsi="仿宋_GB2312" w:eastAsia="仿宋_GB2312" w:cs="仿宋_GB2312"/>
          <w:sz w:val="32"/>
          <w:szCs w:val="32"/>
        </w:rPr>
        <w:t>参加农业部农技推广骨干人才培养</w:t>
      </w:r>
      <w:r>
        <w:rPr>
          <w:rFonts w:hint="eastAsia" w:ascii="仿宋_GB2312" w:hAnsi="仿宋_GB2312" w:eastAsia="仿宋_GB2312" w:cs="仿宋_GB2312"/>
          <w:sz w:val="32"/>
          <w:szCs w:val="32"/>
          <w:lang w:eastAsia="zh-CN"/>
        </w:rPr>
        <w:t>有关费用等；组织</w:t>
      </w:r>
      <w:r>
        <w:rPr>
          <w:rFonts w:hint="eastAsia" w:ascii="Times New Roman" w:hAnsi="Times New Roman" w:eastAsia="仿宋_GB2312" w:cs="Times New Roman"/>
          <w:kern w:val="2"/>
          <w:sz w:val="32"/>
          <w:szCs w:val="32"/>
          <w:lang w:val="en-US" w:eastAsia="zh-CN" w:bidi="ar-SA"/>
        </w:rPr>
        <w:t>科技展示户</w:t>
      </w:r>
      <w:r>
        <w:rPr>
          <w:rFonts w:hint="eastAsia" w:ascii="仿宋_GB2312" w:hAnsi="仿宋_GB2312" w:eastAsia="仿宋_GB2312" w:cs="仿宋_GB2312"/>
          <w:sz w:val="32"/>
          <w:szCs w:val="32"/>
          <w:lang w:eastAsia="zh-CN"/>
        </w:rPr>
        <w:t>等开展观摩学习等交流活动费用，以及组织重点乡镇、重点村开展今冬明春科技大培训等费用。</w:t>
      </w:r>
    </w:p>
    <w:p w14:paraId="5A69628F">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五、项目实施进度安排</w:t>
      </w:r>
    </w:p>
    <w:p w14:paraId="46EB233F">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color w:val="0000FF"/>
          <w:sz w:val="32"/>
          <w:szCs w:val="32"/>
        </w:rPr>
      </w:pPr>
      <w:r>
        <w:rPr>
          <w:rFonts w:hint="eastAsia" w:ascii="仿宋_GB2312" w:hAnsi="仿宋_GB2312" w:eastAsia="仿宋_GB2312" w:cs="仿宋_GB2312"/>
          <w:color w:val="auto"/>
          <w:sz w:val="32"/>
          <w:szCs w:val="32"/>
        </w:rPr>
        <w:t>项目实施的期限为20</w:t>
      </w:r>
      <w:r>
        <w:rPr>
          <w:rFonts w:hint="eastAsia" w:ascii="仿宋_GB2312" w:hAnsi="仿宋_GB2312" w:eastAsia="仿宋_GB2312" w:cs="仿宋_GB2312"/>
          <w:color w:val="auto"/>
          <w:sz w:val="32"/>
          <w:szCs w:val="32"/>
          <w:lang w:val="en-US" w:eastAsia="zh-CN"/>
        </w:rPr>
        <w:t>24</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rPr>
        <w:t>月-20</w:t>
      </w:r>
      <w:r>
        <w:rPr>
          <w:rFonts w:hint="eastAsia" w:ascii="仿宋_GB2312" w:hAnsi="仿宋_GB2312" w:eastAsia="仿宋_GB2312" w:cs="仿宋_GB2312"/>
          <w:color w:val="auto"/>
          <w:sz w:val="32"/>
          <w:szCs w:val="32"/>
          <w:lang w:val="en-US" w:eastAsia="zh-CN"/>
        </w:rPr>
        <w:t>25</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lang w:val="en-US" w:eastAsia="zh-CN"/>
        </w:rPr>
        <w:t>6</w:t>
      </w:r>
      <w:r>
        <w:rPr>
          <w:rFonts w:hint="eastAsia" w:ascii="仿宋_GB2312" w:hAnsi="仿宋_GB2312" w:eastAsia="仿宋_GB2312" w:cs="仿宋_GB2312"/>
          <w:color w:val="auto"/>
          <w:sz w:val="32"/>
          <w:szCs w:val="32"/>
        </w:rPr>
        <w:t>月，具体安排如下：</w:t>
      </w:r>
    </w:p>
    <w:p w14:paraId="1CF86F2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2024年8-10月份</w:t>
      </w:r>
      <w:r>
        <w:rPr>
          <w:rFonts w:hint="eastAsia" w:ascii="仿宋_GB2312" w:hAnsi="仿宋_GB2312" w:eastAsia="仿宋_GB2312" w:cs="仿宋_GB2312"/>
          <w:sz w:val="32"/>
          <w:szCs w:val="32"/>
        </w:rPr>
        <w:t>，组建项目领导小组、专家团队，完成实施方案编制、审核、审批工作，遴选</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sz w:val="32"/>
          <w:szCs w:val="32"/>
        </w:rPr>
        <w:t>，制定培训计划，</w:t>
      </w:r>
      <w:r>
        <w:rPr>
          <w:rFonts w:hint="eastAsia" w:ascii="仿宋_GB2312" w:hAnsi="仿宋_GB2312" w:eastAsia="仿宋_GB2312" w:cs="仿宋_GB2312"/>
          <w:sz w:val="32"/>
          <w:szCs w:val="32"/>
          <w:highlight w:val="none"/>
          <w:lang w:val="en-US" w:eastAsia="zh-CN"/>
        </w:rPr>
        <w:t>场所</w:t>
      </w:r>
      <w:r>
        <w:rPr>
          <w:rFonts w:hint="eastAsia" w:ascii="仿宋_GB2312" w:hAnsi="仿宋_GB2312" w:eastAsia="仿宋_GB2312" w:cs="仿宋_GB2312"/>
          <w:sz w:val="32"/>
          <w:szCs w:val="32"/>
        </w:rPr>
        <w:t>选址，进行项目部署。</w:t>
      </w:r>
    </w:p>
    <w:p w14:paraId="3048253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highlight w:val="none"/>
          <w:lang w:val="en-US" w:eastAsia="zh-CN"/>
        </w:rPr>
        <w:t>2024年11-12</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份</w:t>
      </w:r>
      <w:r>
        <w:rPr>
          <w:rFonts w:hint="eastAsia" w:ascii="仿宋_GB2312" w:hAnsi="仿宋_GB2312" w:eastAsia="仿宋_GB2312" w:cs="仿宋_GB2312"/>
          <w:sz w:val="32"/>
          <w:szCs w:val="32"/>
          <w:highlight w:val="none"/>
        </w:rPr>
        <w:t>，开展</w:t>
      </w:r>
      <w:r>
        <w:rPr>
          <w:rFonts w:hint="eastAsia" w:ascii="Times New Roman" w:hAnsi="Times New Roman" w:eastAsia="仿宋_GB2312" w:cs="Times New Roman"/>
          <w:kern w:val="2"/>
          <w:sz w:val="32"/>
          <w:szCs w:val="32"/>
          <w:highlight w:val="none"/>
          <w:lang w:val="en-US" w:eastAsia="zh-CN" w:bidi="ar-SA"/>
        </w:rPr>
        <w:t>科技试验展示场所</w:t>
      </w:r>
      <w:r>
        <w:rPr>
          <w:rFonts w:hint="eastAsia" w:ascii="仿宋_GB2312" w:hAnsi="仿宋_GB2312" w:eastAsia="仿宋_GB2312" w:cs="仿宋_GB2312"/>
          <w:sz w:val="32"/>
          <w:szCs w:val="32"/>
          <w:highlight w:val="none"/>
        </w:rPr>
        <w:t>规划设计、</w:t>
      </w:r>
      <w:r>
        <w:rPr>
          <w:rFonts w:hint="eastAsia" w:ascii="仿宋_GB2312" w:hAnsi="仿宋_GB2312" w:eastAsia="仿宋_GB2312" w:cs="仿宋_GB2312"/>
          <w:sz w:val="32"/>
          <w:szCs w:val="32"/>
          <w:highlight w:val="none"/>
          <w:lang w:val="en-US" w:eastAsia="zh-CN"/>
        </w:rPr>
        <w:t>场所</w:t>
      </w:r>
      <w:r>
        <w:rPr>
          <w:rFonts w:hint="eastAsia" w:ascii="仿宋_GB2312" w:hAnsi="仿宋_GB2312" w:eastAsia="仿宋_GB2312" w:cs="仿宋_GB2312"/>
          <w:sz w:val="32"/>
          <w:szCs w:val="32"/>
        </w:rPr>
        <w:t>项目区相关培训；</w:t>
      </w:r>
      <w:r>
        <w:rPr>
          <w:rFonts w:hint="eastAsia" w:ascii="仿宋_GB2312" w:hAnsi="仿宋_GB2312" w:eastAsia="仿宋_GB2312" w:cs="仿宋_GB2312"/>
          <w:sz w:val="32"/>
          <w:szCs w:val="32"/>
          <w:lang w:val="en-US" w:eastAsia="zh-CN"/>
        </w:rPr>
        <w:t>印发技术推广方案，发布主推技术。</w:t>
      </w:r>
      <w:r>
        <w:rPr>
          <w:rFonts w:hint="eastAsia" w:ascii="仿宋_GB2312" w:hAnsi="仿宋_GB2312" w:eastAsia="仿宋_GB2312" w:cs="仿宋_GB2312"/>
          <w:sz w:val="32"/>
          <w:szCs w:val="32"/>
        </w:rPr>
        <w:t>行业专家、乡土专家、农技人员及特聘农技员进村入户开展技术指导与服务，农技人员深入</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sz w:val="32"/>
          <w:szCs w:val="32"/>
        </w:rPr>
        <w:t>进行技术指导与培训。做好农技人员培训、</w:t>
      </w:r>
      <w:r>
        <w:rPr>
          <w:rFonts w:hint="eastAsia" w:ascii="Times New Roman" w:hAnsi="Times New Roman" w:eastAsia="仿宋_GB2312" w:cs="Times New Roman"/>
          <w:kern w:val="2"/>
          <w:sz w:val="32"/>
          <w:szCs w:val="32"/>
          <w:lang w:val="en-US" w:eastAsia="zh-CN" w:bidi="ar-SA"/>
        </w:rPr>
        <w:t>科技展示场所</w:t>
      </w:r>
      <w:r>
        <w:rPr>
          <w:rFonts w:hint="eastAsia" w:ascii="仿宋_GB2312" w:hAnsi="仿宋_GB2312" w:eastAsia="仿宋_GB2312" w:cs="仿宋_GB2312"/>
          <w:sz w:val="32"/>
          <w:szCs w:val="32"/>
        </w:rPr>
        <w:t>新技术、新模式落实等工作。</w:t>
      </w:r>
    </w:p>
    <w:p w14:paraId="75B35567">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2025年1</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份</w:t>
      </w:r>
      <w:r>
        <w:rPr>
          <w:rFonts w:hint="eastAsia" w:ascii="仿宋_GB2312" w:hAnsi="仿宋_GB2312" w:eastAsia="仿宋_GB2312" w:cs="仿宋_GB2312"/>
          <w:sz w:val="32"/>
          <w:szCs w:val="32"/>
        </w:rPr>
        <w:t>，开展农技人员培训、农牧业生产技术培训、</w:t>
      </w:r>
      <w:r>
        <w:rPr>
          <w:rFonts w:hint="eastAsia" w:ascii="Times New Roman" w:hAnsi="Times New Roman" w:eastAsia="仿宋_GB2312" w:cs="Times New Roman"/>
          <w:kern w:val="2"/>
          <w:sz w:val="32"/>
          <w:szCs w:val="32"/>
          <w:lang w:val="en-US" w:eastAsia="zh-CN" w:bidi="ar-SA"/>
        </w:rPr>
        <w:t>科技展示主体</w:t>
      </w:r>
      <w:r>
        <w:rPr>
          <w:rFonts w:hint="eastAsia" w:ascii="仿宋_GB2312" w:hAnsi="仿宋_GB2312" w:eastAsia="仿宋_GB2312" w:cs="仿宋_GB2312"/>
          <w:sz w:val="32"/>
          <w:szCs w:val="32"/>
        </w:rPr>
        <w:t>培训等；落实农业生产后续田间耕作管理、养殖业饲养管理等技术措施，基地互学互检，到先进地区观摩学习。开展</w:t>
      </w:r>
      <w:r>
        <w:rPr>
          <w:rFonts w:hint="eastAsia" w:ascii="仿宋_GB2312" w:hAnsi="仿宋_GB2312" w:eastAsia="仿宋_GB2312" w:cs="仿宋_GB2312"/>
          <w:sz w:val="32"/>
          <w:szCs w:val="32"/>
          <w:lang w:val="en-US" w:eastAsia="zh-CN"/>
        </w:rPr>
        <w:t>场所</w:t>
      </w:r>
      <w:r>
        <w:rPr>
          <w:rFonts w:hint="eastAsia" w:ascii="仿宋_GB2312" w:hAnsi="仿宋_GB2312" w:eastAsia="仿宋_GB2312" w:cs="仿宋_GB2312"/>
          <w:sz w:val="32"/>
          <w:szCs w:val="32"/>
          <w:highlight w:val="none"/>
        </w:rPr>
        <w:t>及</w:t>
      </w:r>
      <w:r>
        <w:rPr>
          <w:rFonts w:hint="eastAsia" w:ascii="仿宋_GB2312" w:hAnsi="仿宋_GB2312" w:eastAsia="仿宋_GB2312" w:cs="仿宋_GB2312"/>
          <w:sz w:val="32"/>
          <w:szCs w:val="32"/>
          <w:highlight w:val="none"/>
          <w:lang w:val="en-US" w:eastAsia="zh-CN"/>
        </w:rPr>
        <w:t>展示</w:t>
      </w:r>
      <w:r>
        <w:rPr>
          <w:rFonts w:hint="eastAsia" w:ascii="仿宋_GB2312" w:hAnsi="仿宋_GB2312" w:eastAsia="仿宋_GB2312" w:cs="仿宋_GB2312"/>
          <w:sz w:val="32"/>
          <w:szCs w:val="32"/>
          <w:highlight w:val="none"/>
        </w:rPr>
        <w:t>主体</w:t>
      </w:r>
      <w:r>
        <w:rPr>
          <w:rFonts w:hint="eastAsia" w:ascii="仿宋_GB2312" w:hAnsi="仿宋_GB2312" w:eastAsia="仿宋_GB2312" w:cs="仿宋_GB2312"/>
          <w:sz w:val="32"/>
          <w:szCs w:val="32"/>
        </w:rPr>
        <w:t>回访、观摩，效益分析、绩效考评、财务审计、表彰奖励、总结验收等工作。</w:t>
      </w:r>
    </w:p>
    <w:p w14:paraId="5C9866F9">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六、保障措施</w:t>
      </w:r>
    </w:p>
    <w:p w14:paraId="22ABA6E6">
      <w:pPr>
        <w:keepNext w:val="0"/>
        <w:keepLines w:val="0"/>
        <w:pageBreakBefore w:val="0"/>
        <w:widowControl w:val="0"/>
        <w:kinsoku/>
        <w:wordWrap/>
        <w:overflowPunct/>
        <w:topLinePunct w:val="0"/>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lang w:val="en-US" w:eastAsia="zh-CN"/>
        </w:rPr>
        <w:t>（一）</w:t>
      </w:r>
      <w:r>
        <w:rPr>
          <w:rFonts w:hint="eastAsia" w:ascii="楷体_GB2312" w:hAnsi="楷体_GB2312" w:eastAsia="楷体_GB2312" w:cs="楷体_GB2312"/>
          <w:b/>
          <w:bCs/>
          <w:sz w:val="32"/>
          <w:szCs w:val="32"/>
        </w:rPr>
        <w:t>加强组织领导</w:t>
      </w:r>
      <w:r>
        <w:rPr>
          <w:rFonts w:hint="eastAsia" w:ascii="楷体_GB2312" w:hAnsi="楷体_GB2312" w:eastAsia="楷体_GB2312" w:cs="楷体_GB2312"/>
          <w:b/>
          <w:bCs/>
          <w:sz w:val="32"/>
          <w:szCs w:val="32"/>
          <w:lang w:eastAsia="zh-CN"/>
        </w:rPr>
        <w:t>。</w:t>
      </w:r>
      <w:r>
        <w:rPr>
          <w:rFonts w:hint="eastAsia" w:ascii="仿宋_GB2312" w:hAnsi="仿宋_GB2312" w:eastAsia="仿宋_GB2312" w:cs="仿宋_GB2312"/>
          <w:sz w:val="32"/>
          <w:szCs w:val="32"/>
        </w:rPr>
        <w:t>成立由旗农牧</w:t>
      </w:r>
      <w:r>
        <w:rPr>
          <w:rFonts w:hint="eastAsia" w:ascii="仿宋_GB2312" w:hAnsi="仿宋_GB2312" w:eastAsia="仿宋_GB2312" w:cs="仿宋_GB2312"/>
          <w:sz w:val="32"/>
          <w:szCs w:val="32"/>
          <w:lang w:eastAsia="zh-CN"/>
        </w:rPr>
        <w:t>和科技</w:t>
      </w:r>
      <w:r>
        <w:rPr>
          <w:rFonts w:hint="eastAsia" w:ascii="仿宋_GB2312" w:hAnsi="仿宋_GB2312" w:eastAsia="仿宋_GB2312" w:cs="仿宋_GB2312"/>
          <w:sz w:val="32"/>
          <w:szCs w:val="32"/>
        </w:rPr>
        <w:t>局局长任组长，各相关部门参加的基层农技推广补助项目工作领导小组，各司其责，依据项目实施要求制定和上报方案，规范项目资金使用，督查和管理项目的进展情况和实施效果，力求高标准、高质量的抓好项目实施工作。项目具体管理单位为旗农牧</w:t>
      </w:r>
      <w:r>
        <w:rPr>
          <w:rFonts w:hint="eastAsia" w:ascii="仿宋_GB2312" w:hAnsi="仿宋_GB2312" w:eastAsia="仿宋_GB2312" w:cs="仿宋_GB2312"/>
          <w:sz w:val="32"/>
          <w:szCs w:val="32"/>
          <w:lang w:eastAsia="zh-CN"/>
        </w:rPr>
        <w:t>和科技</w:t>
      </w:r>
      <w:r>
        <w:rPr>
          <w:rFonts w:hint="eastAsia" w:ascii="仿宋_GB2312" w:hAnsi="仿宋_GB2312" w:eastAsia="仿宋_GB2312" w:cs="仿宋_GB2312"/>
          <w:sz w:val="32"/>
          <w:szCs w:val="32"/>
        </w:rPr>
        <w:t>局科教股，具体负责项目实施过程中的检查督导、宣传报导、信息上报、档案管理及总结验收等工作。</w:t>
      </w:r>
    </w:p>
    <w:p w14:paraId="3E9B1F1E">
      <w:pPr>
        <w:keepNext w:val="0"/>
        <w:keepLines w:val="0"/>
        <w:pageBreakBefore w:val="0"/>
        <w:widowControl w:val="0"/>
        <w:kinsoku/>
        <w:wordWrap/>
        <w:overflowPunct/>
        <w:topLinePunct w:val="0"/>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lang w:val="en-US" w:eastAsia="zh-CN"/>
        </w:rPr>
        <w:t>（二）加强项目资金使用监管。</w:t>
      </w:r>
      <w:r>
        <w:rPr>
          <w:rFonts w:hint="eastAsia" w:ascii="仿宋_GB2312" w:hAnsi="仿宋_GB2312" w:eastAsia="仿宋_GB2312" w:cs="仿宋_GB2312"/>
          <w:sz w:val="32"/>
          <w:szCs w:val="32"/>
        </w:rPr>
        <w:t>将财务人员纳入项目考评考核管理工作，严格按补助资金使用范围，规范资金的使用方向，保障项目顺利实施。</w:t>
      </w:r>
      <w:r>
        <w:rPr>
          <w:rFonts w:hint="eastAsia" w:ascii="仿宋_GB2312" w:hAnsi="仿宋_GB2312" w:eastAsia="仿宋_GB2312" w:cs="仿宋_GB2312"/>
          <w:color w:val="000000" w:themeColor="text1"/>
          <w:sz w:val="32"/>
          <w:szCs w:val="32"/>
          <w14:textFill>
            <w14:solidFill>
              <w14:schemeClr w14:val="tx1"/>
            </w14:solidFill>
          </w14:textFill>
        </w:rPr>
        <w:t>对下达的补助项目资金严格执行</w:t>
      </w:r>
      <w:r>
        <w:rPr>
          <w:rFonts w:hint="eastAsia" w:ascii="仿宋_GB2312" w:hAnsi="仿宋_GB2312" w:eastAsia="仿宋_GB2312" w:cs="仿宋_GB2312"/>
          <w:sz w:val="32"/>
          <w:szCs w:val="32"/>
        </w:rPr>
        <w:t>《农业相关转移支付资金绩效管理办法》及有关财务规章制度</w:t>
      </w:r>
      <w:r>
        <w:rPr>
          <w:rFonts w:hint="eastAsia" w:ascii="仿宋_GB2312" w:hAnsi="仿宋_GB2312" w:eastAsia="仿宋_GB2312" w:cs="仿宋_GB2312"/>
          <w:color w:val="000000" w:themeColor="text1"/>
          <w:sz w:val="32"/>
          <w:szCs w:val="32"/>
          <w14:textFill>
            <w14:solidFill>
              <w14:schemeClr w14:val="tx1"/>
            </w14:solidFill>
          </w14:textFill>
        </w:rPr>
        <w:t>，细化支出范围，明确资金使用用途，确保专款专用。要建立补助项目资金使用公示制度，将农牧业</w:t>
      </w:r>
      <w:r>
        <w:rPr>
          <w:rFonts w:hint="eastAsia" w:ascii="Times New Roman" w:hAnsi="Times New Roman" w:eastAsia="仿宋_GB2312" w:cs="Times New Roman"/>
          <w:kern w:val="2"/>
          <w:sz w:val="32"/>
          <w:szCs w:val="32"/>
          <w:lang w:val="en-US" w:eastAsia="zh-CN" w:bidi="ar-SA"/>
        </w:rPr>
        <w:t>科技展示主体、科技展示场所</w:t>
      </w:r>
      <w:r>
        <w:rPr>
          <w:rFonts w:hint="eastAsia" w:ascii="仿宋_GB2312" w:hAnsi="仿宋_GB2312" w:eastAsia="仿宋_GB2312" w:cs="仿宋_GB2312"/>
          <w:color w:val="000000" w:themeColor="text1"/>
          <w:sz w:val="32"/>
          <w:szCs w:val="32"/>
          <w14:textFill>
            <w14:solidFill>
              <w14:schemeClr w14:val="tx1"/>
            </w14:solidFill>
          </w14:textFill>
        </w:rPr>
        <w:t>、技术指导员等资金补助信息在一定范围内进行公示，接受监督。</w:t>
      </w:r>
    </w:p>
    <w:p w14:paraId="729CE66E">
      <w:pPr>
        <w:keepNext w:val="0"/>
        <w:keepLines w:val="0"/>
        <w:pageBreakBefore w:val="0"/>
        <w:widowControl w:val="0"/>
        <w:kinsoku/>
        <w:wordWrap/>
        <w:overflowPunct/>
        <w:topLinePunct w:val="0"/>
        <w:autoSpaceDE/>
        <w:autoSpaceDN/>
        <w:bidi w:val="0"/>
        <w:adjustRightInd/>
        <w:snapToGrid/>
        <w:spacing w:line="520" w:lineRule="exact"/>
        <w:ind w:left="0" w:leftChars="0" w:firstLine="643"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lang w:val="en-US" w:eastAsia="zh-CN"/>
        </w:rPr>
        <w:t>（三）加强总结宣传。</w:t>
      </w:r>
      <w:r>
        <w:rPr>
          <w:rFonts w:hint="eastAsia" w:ascii="仿宋_GB2312" w:hAnsi="仿宋_GB2312" w:eastAsia="仿宋_GB2312" w:cs="仿宋_GB2312"/>
          <w:sz w:val="32"/>
          <w:szCs w:val="32"/>
        </w:rPr>
        <w:t>认真总结项目实施过程中的经验做法，宣传推广2024年4月26日经第十四届全国人民代表大会常务委员会第九次会议第二次修正的《中华人民共和国农业技术推广法》，加大</w:t>
      </w:r>
      <w:r>
        <w:rPr>
          <w:rFonts w:hint="eastAsia" w:ascii="仿宋_GB2312" w:hAnsi="仿宋_GB2312" w:eastAsia="仿宋_GB2312" w:cs="仿宋_GB2312"/>
          <w:sz w:val="32"/>
          <w:szCs w:val="32"/>
          <w:lang w:val="en-US" w:eastAsia="zh-CN"/>
        </w:rPr>
        <w:t>网络、报纸、</w:t>
      </w:r>
      <w:r>
        <w:rPr>
          <w:rFonts w:hint="eastAsia" w:ascii="仿宋_GB2312" w:hAnsi="仿宋_GB2312" w:eastAsia="仿宋_GB2312" w:cs="仿宋_GB2312"/>
          <w:sz w:val="32"/>
          <w:szCs w:val="32"/>
        </w:rPr>
        <w:t>广播、电视、报刊等媒体的宣传报道力度，对基层农技推广过程中的高产高效新模式、优秀农技人员、致富典型、取得的成果成效等进行宣传和报道，提高我旗基层农技推广项目实施的社会影响力。</w:t>
      </w:r>
    </w:p>
    <w:p w14:paraId="766EC4A2">
      <w:pPr>
        <w:keepNext w:val="0"/>
        <w:keepLines w:val="0"/>
        <w:pageBreakBefore w:val="0"/>
        <w:widowControl w:val="0"/>
        <w:kinsoku/>
        <w:wordWrap/>
        <w:overflowPunct/>
        <w:topLinePunct w:val="0"/>
        <w:autoSpaceDE/>
        <w:autoSpaceDN/>
        <w:bidi w:val="0"/>
        <w:adjustRightInd/>
        <w:snapToGrid/>
        <w:spacing w:line="520" w:lineRule="exact"/>
        <w:ind w:left="0" w:leftChars="0" w:firstLine="640" w:firstLineChars="200"/>
        <w:jc w:val="both"/>
        <w:textAlignment w:val="auto"/>
        <w:rPr>
          <w:rFonts w:hint="eastAsia" w:ascii="仿宋_GB2312" w:hAnsi="仿宋_GB2312" w:eastAsia="仿宋_GB2312" w:cs="仿宋_GB2312"/>
          <w:sz w:val="32"/>
          <w:szCs w:val="32"/>
        </w:rPr>
      </w:pPr>
    </w:p>
    <w:p w14:paraId="2E05FCD8">
      <w:pPr>
        <w:keepNext w:val="0"/>
        <w:keepLines w:val="0"/>
        <w:pageBreakBefore w:val="0"/>
        <w:widowControl w:val="0"/>
        <w:kinsoku/>
        <w:wordWrap/>
        <w:overflowPunct/>
        <w:topLinePunct w:val="0"/>
        <w:autoSpaceDE/>
        <w:autoSpaceDN/>
        <w:bidi w:val="0"/>
        <w:adjustRightInd/>
        <w:snapToGrid/>
        <w:spacing w:line="520" w:lineRule="exact"/>
        <w:ind w:left="1918" w:leftChars="304" w:hanging="1280" w:hangingChars="4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附</w:t>
      </w:r>
      <w:r>
        <w:rPr>
          <w:rFonts w:hint="eastAsia" w:ascii="仿宋_GB2312" w:hAnsi="仿宋_GB2312" w:eastAsia="仿宋_GB2312" w:cs="仿宋_GB2312"/>
          <w:sz w:val="32"/>
          <w:szCs w:val="32"/>
          <w:lang w:eastAsia="zh-CN"/>
        </w:rPr>
        <w:t>件：</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奈曼旗</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年基层农技推广体系改革与建设</w:t>
      </w:r>
      <w:r>
        <w:rPr>
          <w:rFonts w:hint="eastAsia" w:ascii="仿宋_GB2312" w:hAnsi="仿宋_GB2312" w:eastAsia="仿宋_GB2312" w:cs="仿宋_GB2312"/>
          <w:sz w:val="32"/>
          <w:szCs w:val="32"/>
          <w:lang w:eastAsia="zh-CN"/>
        </w:rPr>
        <w:t>补助</w:t>
      </w:r>
      <w:r>
        <w:rPr>
          <w:rFonts w:hint="eastAsia" w:ascii="仿宋_GB2312" w:hAnsi="仿宋_GB2312" w:eastAsia="仿宋_GB2312" w:cs="仿宋_GB2312"/>
          <w:sz w:val="32"/>
          <w:szCs w:val="32"/>
        </w:rPr>
        <w:t>项目实施</w:t>
      </w:r>
      <w:r>
        <w:rPr>
          <w:rFonts w:hint="eastAsia" w:ascii="仿宋_GB2312" w:hAnsi="仿宋_GB2312" w:eastAsia="仿宋_GB2312" w:cs="仿宋_GB2312"/>
          <w:sz w:val="32"/>
          <w:szCs w:val="32"/>
          <w:lang w:eastAsia="zh-CN"/>
        </w:rPr>
        <w:t>领导小组名单</w:t>
      </w:r>
    </w:p>
    <w:p w14:paraId="34D2A65C">
      <w:pPr>
        <w:keepNext w:val="0"/>
        <w:keepLines w:val="0"/>
        <w:pageBreakBefore w:val="0"/>
        <w:widowControl w:val="0"/>
        <w:kinsoku/>
        <w:wordWrap/>
        <w:overflowPunct/>
        <w:topLinePunct w:val="0"/>
        <w:autoSpaceDE/>
        <w:autoSpaceDN/>
        <w:bidi w:val="0"/>
        <w:adjustRightInd/>
        <w:snapToGrid/>
        <w:spacing w:line="520" w:lineRule="exact"/>
        <w:ind w:left="1916" w:leftChars="760" w:hanging="320" w:hangingChars="1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2.奈曼旗</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年基层农</w:t>
      </w:r>
      <w:r>
        <w:rPr>
          <w:rFonts w:hint="eastAsia" w:ascii="仿宋_GB2312" w:hAnsi="仿宋_GB2312" w:eastAsia="仿宋_GB2312" w:cs="仿宋_GB2312"/>
          <w:sz w:val="32"/>
          <w:szCs w:val="32"/>
          <w:lang w:val="en-US" w:eastAsia="zh-CN"/>
        </w:rPr>
        <w:t>技</w:t>
      </w:r>
      <w:r>
        <w:rPr>
          <w:rFonts w:hint="eastAsia" w:ascii="仿宋_GB2312" w:hAnsi="仿宋_GB2312" w:eastAsia="仿宋_GB2312" w:cs="仿宋_GB2312"/>
          <w:sz w:val="32"/>
          <w:szCs w:val="32"/>
        </w:rPr>
        <w:t>推广体系改革与建设</w:t>
      </w:r>
      <w:r>
        <w:rPr>
          <w:rFonts w:hint="eastAsia" w:ascii="仿宋_GB2312" w:hAnsi="仿宋_GB2312" w:eastAsia="仿宋_GB2312" w:cs="仿宋_GB2312"/>
          <w:sz w:val="32"/>
          <w:szCs w:val="32"/>
          <w:lang w:eastAsia="zh-CN"/>
        </w:rPr>
        <w:t>补助项目</w:t>
      </w:r>
      <w:r>
        <w:rPr>
          <w:rFonts w:hint="eastAsia" w:ascii="仿宋_GB2312" w:hAnsi="仿宋_GB2312" w:eastAsia="仿宋_GB2312" w:cs="仿宋_GB2312"/>
          <w:sz w:val="32"/>
          <w:szCs w:val="32"/>
          <w:lang w:val="en-US" w:eastAsia="zh-CN"/>
        </w:rPr>
        <w:t>专家指导</w:t>
      </w:r>
      <w:r>
        <w:rPr>
          <w:rFonts w:hint="eastAsia" w:ascii="仿宋_GB2312" w:hAnsi="仿宋_GB2312" w:eastAsia="仿宋_GB2312" w:cs="仿宋_GB2312"/>
          <w:sz w:val="32"/>
          <w:szCs w:val="32"/>
        </w:rPr>
        <w:t>小组</w:t>
      </w:r>
      <w:r>
        <w:rPr>
          <w:rFonts w:hint="eastAsia" w:ascii="仿宋_GB2312" w:hAnsi="仿宋_GB2312" w:eastAsia="仿宋_GB2312" w:cs="仿宋_GB2312"/>
          <w:sz w:val="32"/>
          <w:szCs w:val="32"/>
          <w:lang w:eastAsia="zh-CN"/>
        </w:rPr>
        <w:t>名单</w:t>
      </w:r>
    </w:p>
    <w:p w14:paraId="42E51012">
      <w:pPr>
        <w:keepNext w:val="0"/>
        <w:keepLines w:val="0"/>
        <w:pageBreakBefore w:val="0"/>
        <w:widowControl w:val="0"/>
        <w:kinsoku/>
        <w:wordWrap/>
        <w:overflowPunct/>
        <w:topLinePunct w:val="0"/>
        <w:autoSpaceDE/>
        <w:autoSpaceDN/>
        <w:bidi w:val="0"/>
        <w:adjustRightInd/>
        <w:snapToGrid/>
        <w:spacing w:line="520" w:lineRule="exact"/>
        <w:ind w:left="1916" w:leftChars="760" w:hanging="320" w:hangingChars="1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3.奈曼旗2024年基层农技推广体系改革与建设补助项目资金使用情况表</w:t>
      </w:r>
    </w:p>
    <w:p w14:paraId="5C18CAD3">
      <w:pPr>
        <w:keepNext w:val="0"/>
        <w:keepLines w:val="0"/>
        <w:pageBreakBefore w:val="0"/>
        <w:widowControl w:val="0"/>
        <w:kinsoku/>
        <w:wordWrap/>
        <w:overflowPunct/>
        <w:topLinePunct w:val="0"/>
        <w:autoSpaceDE/>
        <w:autoSpaceDN/>
        <w:bidi w:val="0"/>
        <w:adjustRightInd/>
        <w:snapToGrid/>
        <w:spacing w:line="520" w:lineRule="exact"/>
        <w:ind w:left="1916" w:leftChars="760" w:hanging="320" w:hangingChars="1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eastAsia="zh-CN"/>
        </w:rPr>
        <w:t>奈曼旗</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年基层农技推广体系改革与建设补助政策落实延伸绩效管理线下指标体系</w:t>
      </w:r>
    </w:p>
    <w:p w14:paraId="74961E05">
      <w:pPr>
        <w:pStyle w:val="2"/>
        <w:keepNext w:val="0"/>
        <w:keepLines w:val="0"/>
        <w:pageBreakBefore w:val="0"/>
        <w:kinsoku/>
        <w:wordWrap/>
        <w:overflowPunct/>
        <w:topLinePunct w:val="0"/>
        <w:autoSpaceDE/>
        <w:autoSpaceDN/>
        <w:bidi w:val="0"/>
        <w:adjustRightInd/>
        <w:snapToGrid/>
        <w:spacing w:before="0" w:after="0" w:line="560" w:lineRule="exact"/>
        <w:jc w:val="both"/>
        <w:textAlignment w:val="auto"/>
        <w:rPr>
          <w:rFonts w:hint="eastAsia" w:ascii="仿宋_GB2312" w:hAnsi="仿宋_GB2312" w:eastAsia="仿宋_GB2312" w:cs="仿宋_GB2312"/>
        </w:rPr>
      </w:pPr>
    </w:p>
    <w:p w14:paraId="05F5CBCE">
      <w:pPr>
        <w:rPr>
          <w:rFonts w:hint="eastAsia" w:ascii="仿宋_GB2312" w:hAnsi="仿宋_GB2312" w:eastAsia="仿宋_GB2312" w:cs="仿宋_GB2312"/>
        </w:rPr>
      </w:pPr>
    </w:p>
    <w:p w14:paraId="02121210">
      <w:pPr>
        <w:pStyle w:val="2"/>
        <w:rPr>
          <w:rFonts w:hint="eastAsia" w:ascii="仿宋_GB2312" w:hAnsi="仿宋_GB2312" w:eastAsia="仿宋_GB2312" w:cs="仿宋_GB2312"/>
        </w:rPr>
      </w:pPr>
    </w:p>
    <w:p w14:paraId="7B0D9E0C">
      <w:pPr>
        <w:rPr>
          <w:rFonts w:hint="eastAsia"/>
        </w:rPr>
      </w:pPr>
    </w:p>
    <w:p w14:paraId="7F438ECC">
      <w:pPr>
        <w:pStyle w:val="2"/>
        <w:keepNext w:val="0"/>
        <w:keepLines w:val="0"/>
        <w:pageBreakBefore w:val="0"/>
        <w:tabs>
          <w:tab w:val="left" w:pos="6336"/>
        </w:tabs>
        <w:kinsoku/>
        <w:wordWrap/>
        <w:overflowPunct/>
        <w:topLinePunct w:val="0"/>
        <w:autoSpaceDE/>
        <w:autoSpaceDN/>
        <w:bidi w:val="0"/>
        <w:adjustRightInd/>
        <w:snapToGrid/>
        <w:spacing w:before="0" w:after="0" w:line="560" w:lineRule="exact"/>
        <w:jc w:val="both"/>
        <w:textAlignment w:val="auto"/>
        <w:rPr>
          <w:rFonts w:hint="eastAsia" w:ascii="黑体" w:hAnsi="黑体" w:eastAsia="黑体" w:cs="黑体"/>
          <w:b w:val="0"/>
          <w:bCs w:val="0"/>
          <w:lang w:val="en-US" w:eastAsia="zh-CN"/>
        </w:rPr>
      </w:pPr>
      <w:r>
        <w:rPr>
          <w:rFonts w:hint="eastAsia" w:ascii="黑体" w:hAnsi="黑体" w:eastAsia="黑体" w:cs="黑体"/>
          <w:b w:val="0"/>
          <w:bCs w:val="0"/>
          <w:lang w:eastAsia="zh-CN"/>
        </w:rPr>
        <w:t>附件</w:t>
      </w:r>
      <w:r>
        <w:rPr>
          <w:rFonts w:hint="eastAsia" w:ascii="黑体" w:hAnsi="黑体" w:eastAsia="黑体" w:cs="黑体"/>
          <w:b w:val="0"/>
          <w:bCs w:val="0"/>
          <w:lang w:val="en-US" w:eastAsia="zh-CN"/>
        </w:rPr>
        <w:t>1</w:t>
      </w:r>
    </w:p>
    <w:p w14:paraId="7D21A61A">
      <w:pPr>
        <w:rPr>
          <w:rFonts w:hint="eastAsia"/>
          <w:lang w:val="en-US" w:eastAsia="zh-CN"/>
        </w:rPr>
      </w:pPr>
    </w:p>
    <w:p w14:paraId="15A8E8C2">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t>奈曼旗</w:t>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w:t>
      </w:r>
      <w:r>
        <w:rPr>
          <w:rFonts w:hint="eastAsia" w:ascii="方正小标宋简体" w:hAnsi="方正小标宋简体" w:eastAsia="方正小标宋简体" w:cs="方正小标宋简体"/>
          <w:color w:val="000000" w:themeColor="text1"/>
          <w:sz w:val="44"/>
          <w:szCs w:val="44"/>
          <w:lang w:val="en-US" w:eastAsia="zh-CN"/>
          <w14:textFill>
            <w14:solidFill>
              <w14:schemeClr w14:val="tx1"/>
            </w14:solidFill>
          </w14:textFill>
        </w:rPr>
        <w:t>4</w:t>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年基层农技推广体系改革与建设</w:t>
      </w:r>
      <w:r>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t>补助</w:t>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项目实施</w:t>
      </w:r>
      <w:r>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t>领导小组名单</w:t>
      </w:r>
    </w:p>
    <w:p w14:paraId="628E9E8E">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 w:eastAsia="仿宋_GB2312"/>
          <w:sz w:val="32"/>
          <w:szCs w:val="32"/>
          <w:highlight w:val="none"/>
        </w:rPr>
      </w:pPr>
    </w:p>
    <w:p w14:paraId="57D6621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 w:eastAsia="仿宋_GB2312"/>
          <w:sz w:val="32"/>
          <w:szCs w:val="32"/>
          <w:highlight w:val="none"/>
        </w:rPr>
      </w:pPr>
      <w:r>
        <w:rPr>
          <w:rFonts w:hint="eastAsia" w:ascii="仿宋_GB2312" w:hAnsi="仿宋" w:eastAsia="仿宋_GB2312"/>
          <w:sz w:val="32"/>
          <w:szCs w:val="32"/>
          <w:highlight w:val="none"/>
        </w:rPr>
        <w:t>组  长：</w:t>
      </w:r>
      <w:r>
        <w:rPr>
          <w:rFonts w:hint="eastAsia" w:ascii="仿宋_GB2312" w:hAnsi="仿宋" w:eastAsia="仿宋_GB2312"/>
          <w:sz w:val="32"/>
          <w:szCs w:val="32"/>
          <w:highlight w:val="none"/>
          <w:lang w:eastAsia="zh-CN"/>
        </w:rPr>
        <w:t>唐国成</w:t>
      </w:r>
      <w:r>
        <w:rPr>
          <w:rFonts w:hint="eastAsia" w:ascii="仿宋_GB2312" w:hAnsi="仿宋" w:eastAsia="仿宋_GB2312"/>
          <w:sz w:val="32"/>
          <w:szCs w:val="32"/>
          <w:highlight w:val="none"/>
          <w:lang w:val="en-US" w:eastAsia="zh-CN"/>
        </w:rPr>
        <w:t xml:space="preserve">  </w:t>
      </w:r>
      <w:r>
        <w:rPr>
          <w:rFonts w:hint="eastAsia" w:ascii="仿宋_GB2312" w:hAnsi="仿宋" w:eastAsia="仿宋_GB2312"/>
          <w:sz w:val="32"/>
          <w:szCs w:val="32"/>
          <w:highlight w:val="none"/>
        </w:rPr>
        <w:t>奈曼旗</w:t>
      </w:r>
      <w:r>
        <w:rPr>
          <w:rFonts w:hint="eastAsia" w:ascii="仿宋_GB2312" w:hAnsi="仿宋" w:eastAsia="仿宋_GB2312"/>
          <w:sz w:val="32"/>
          <w:szCs w:val="32"/>
          <w:highlight w:val="none"/>
          <w:lang w:eastAsia="zh-CN"/>
        </w:rPr>
        <w:t>农牧和科技局</w:t>
      </w:r>
      <w:r>
        <w:rPr>
          <w:rFonts w:hint="eastAsia" w:ascii="仿宋_GB2312" w:hAnsi="仿宋" w:eastAsia="仿宋_GB2312"/>
          <w:sz w:val="32"/>
          <w:szCs w:val="32"/>
          <w:highlight w:val="none"/>
        </w:rPr>
        <w:t>局长</w:t>
      </w:r>
    </w:p>
    <w:p w14:paraId="4BCBA5AC">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 w:eastAsia="仿宋_GB2312"/>
          <w:sz w:val="32"/>
          <w:szCs w:val="32"/>
          <w:highlight w:val="none"/>
        </w:rPr>
      </w:pPr>
      <w:r>
        <w:rPr>
          <w:rFonts w:hint="eastAsia" w:ascii="仿宋_GB2312" w:hAnsi="仿宋" w:eastAsia="仿宋_GB2312"/>
          <w:sz w:val="32"/>
          <w:szCs w:val="32"/>
          <w:highlight w:val="none"/>
        </w:rPr>
        <w:t>副组长：</w:t>
      </w:r>
      <w:r>
        <w:rPr>
          <w:rFonts w:hint="eastAsia" w:ascii="仿宋_GB2312" w:hAnsi="仿宋" w:eastAsia="仿宋_GB2312"/>
          <w:sz w:val="32"/>
          <w:szCs w:val="32"/>
          <w:highlight w:val="none"/>
          <w:lang w:val="en-US" w:eastAsia="zh-CN"/>
        </w:rPr>
        <w:t xml:space="preserve">鲍宏云  </w:t>
      </w:r>
      <w:r>
        <w:rPr>
          <w:rFonts w:hint="eastAsia" w:ascii="仿宋_GB2312" w:hAnsi="仿宋" w:eastAsia="仿宋_GB2312"/>
          <w:sz w:val="32"/>
          <w:szCs w:val="32"/>
          <w:highlight w:val="none"/>
        </w:rPr>
        <w:t>奈曼旗</w:t>
      </w:r>
      <w:r>
        <w:rPr>
          <w:rFonts w:hint="eastAsia" w:ascii="仿宋_GB2312" w:hAnsi="仿宋" w:eastAsia="仿宋_GB2312"/>
          <w:sz w:val="32"/>
          <w:szCs w:val="32"/>
          <w:highlight w:val="none"/>
          <w:lang w:eastAsia="zh-CN"/>
        </w:rPr>
        <w:t>农牧和科技局</w:t>
      </w:r>
      <w:r>
        <w:rPr>
          <w:rFonts w:hint="eastAsia" w:ascii="仿宋_GB2312" w:hAnsi="仿宋" w:eastAsia="仿宋_GB2312"/>
          <w:sz w:val="32"/>
          <w:szCs w:val="32"/>
          <w:highlight w:val="none"/>
        </w:rPr>
        <w:t>副局长</w:t>
      </w:r>
    </w:p>
    <w:p w14:paraId="21675D3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 w:eastAsia="仿宋_GB2312"/>
          <w:color w:val="auto"/>
          <w:sz w:val="32"/>
          <w:szCs w:val="32"/>
          <w:highlight w:val="none"/>
          <w:lang w:val="en-US" w:eastAsia="zh-CN"/>
        </w:rPr>
      </w:pPr>
      <w:r>
        <w:rPr>
          <w:rFonts w:hint="eastAsia" w:ascii="仿宋_GB2312" w:hAnsi="仿宋" w:eastAsia="仿宋_GB2312"/>
          <w:sz w:val="32"/>
          <w:szCs w:val="32"/>
          <w:highlight w:val="none"/>
        </w:rPr>
        <w:t>成  员：</w:t>
      </w:r>
      <w:r>
        <w:rPr>
          <w:rFonts w:hint="eastAsia" w:ascii="仿宋_GB2312" w:hAnsi="仿宋" w:eastAsia="仿宋_GB2312"/>
          <w:color w:val="auto"/>
          <w:sz w:val="32"/>
          <w:szCs w:val="32"/>
          <w:highlight w:val="none"/>
          <w:lang w:val="en-US" w:eastAsia="zh-CN"/>
        </w:rPr>
        <w:t xml:space="preserve">永  兴  </w:t>
      </w:r>
      <w:r>
        <w:rPr>
          <w:rFonts w:hint="eastAsia" w:ascii="仿宋_GB2312" w:hAnsi="仿宋" w:eastAsia="仿宋_GB2312"/>
          <w:color w:val="auto"/>
          <w:sz w:val="32"/>
          <w:szCs w:val="32"/>
          <w:highlight w:val="none"/>
        </w:rPr>
        <w:t>奈曼旗</w:t>
      </w:r>
      <w:r>
        <w:rPr>
          <w:rFonts w:hint="eastAsia" w:ascii="仿宋_GB2312" w:hAnsi="仿宋" w:eastAsia="仿宋_GB2312"/>
          <w:color w:val="auto"/>
          <w:sz w:val="32"/>
          <w:szCs w:val="32"/>
          <w:highlight w:val="none"/>
          <w:lang w:eastAsia="zh-CN"/>
        </w:rPr>
        <w:t>农牧和科技局</w:t>
      </w:r>
      <w:r>
        <w:rPr>
          <w:rFonts w:hint="eastAsia" w:ascii="仿宋_GB2312" w:hAnsi="仿宋" w:eastAsia="仿宋_GB2312"/>
          <w:color w:val="auto"/>
          <w:sz w:val="32"/>
          <w:szCs w:val="32"/>
          <w:highlight w:val="none"/>
          <w:lang w:val="en-US" w:eastAsia="zh-CN"/>
        </w:rPr>
        <w:t>科教</w:t>
      </w:r>
      <w:r>
        <w:rPr>
          <w:rFonts w:hint="eastAsia" w:ascii="仿宋_GB2312" w:hAnsi="仿宋" w:eastAsia="仿宋_GB2312"/>
          <w:color w:val="auto"/>
          <w:sz w:val="32"/>
          <w:szCs w:val="32"/>
          <w:highlight w:val="none"/>
        </w:rPr>
        <w:t>股</w:t>
      </w:r>
      <w:r>
        <w:rPr>
          <w:rFonts w:hint="eastAsia" w:ascii="仿宋_GB2312" w:hAnsi="仿宋" w:eastAsia="仿宋_GB2312"/>
          <w:color w:val="auto"/>
          <w:sz w:val="32"/>
          <w:szCs w:val="32"/>
          <w:highlight w:val="none"/>
          <w:lang w:val="en-US" w:eastAsia="zh-CN"/>
        </w:rPr>
        <w:t>股长</w:t>
      </w:r>
    </w:p>
    <w:p w14:paraId="65E04C2F">
      <w:pPr>
        <w:keepNext w:val="0"/>
        <w:keepLines w:val="0"/>
        <w:pageBreakBefore w:val="0"/>
        <w:widowControl w:val="0"/>
        <w:kinsoku/>
        <w:wordWrap/>
        <w:overflowPunct/>
        <w:topLinePunct w:val="0"/>
        <w:autoSpaceDE/>
        <w:autoSpaceDN/>
        <w:bidi w:val="0"/>
        <w:adjustRightInd/>
        <w:snapToGrid/>
        <w:spacing w:line="560" w:lineRule="exact"/>
        <w:ind w:firstLine="1920" w:firstLineChars="600"/>
        <w:jc w:val="both"/>
        <w:textAlignment w:val="auto"/>
        <w:rPr>
          <w:rFonts w:hint="default" w:ascii="仿宋_GB2312" w:hAnsi="仿宋" w:eastAsia="仿宋_GB2312" w:cs="Calibri"/>
          <w:b w:val="0"/>
          <w:bCs w:val="0"/>
          <w:color w:val="auto"/>
          <w:kern w:val="2"/>
          <w:sz w:val="32"/>
          <w:szCs w:val="32"/>
          <w:highlight w:val="none"/>
          <w:lang w:val="en-US" w:eastAsia="zh-CN" w:bidi="ar-SA"/>
        </w:rPr>
      </w:pPr>
      <w:r>
        <w:rPr>
          <w:rFonts w:hint="eastAsia" w:ascii="仿宋_GB2312" w:hAnsi="仿宋" w:eastAsia="仿宋_GB2312" w:cs="Calibri"/>
          <w:b w:val="0"/>
          <w:bCs w:val="0"/>
          <w:color w:val="auto"/>
          <w:kern w:val="2"/>
          <w:sz w:val="32"/>
          <w:szCs w:val="32"/>
          <w:highlight w:val="none"/>
          <w:lang w:val="en-US" w:eastAsia="zh-CN" w:bidi="ar-SA"/>
        </w:rPr>
        <w:t>谢凤学  奈曼旗农牧和科技局办公室主任</w:t>
      </w:r>
    </w:p>
    <w:p w14:paraId="5E53D735">
      <w:pPr>
        <w:keepNext w:val="0"/>
        <w:keepLines w:val="0"/>
        <w:pageBreakBefore w:val="0"/>
        <w:widowControl w:val="0"/>
        <w:kinsoku/>
        <w:wordWrap/>
        <w:overflowPunct/>
        <w:topLinePunct w:val="0"/>
        <w:autoSpaceDE/>
        <w:autoSpaceDN/>
        <w:bidi w:val="0"/>
        <w:adjustRightInd/>
        <w:snapToGrid/>
        <w:spacing w:line="560" w:lineRule="exact"/>
        <w:ind w:firstLine="1920" w:firstLineChars="600"/>
        <w:jc w:val="both"/>
        <w:textAlignment w:val="auto"/>
        <w:rPr>
          <w:rFonts w:hint="eastAsia" w:ascii="仿宋_GB2312" w:hAnsi="仿宋" w:eastAsia="仿宋_GB2312"/>
          <w:sz w:val="32"/>
          <w:szCs w:val="32"/>
          <w:highlight w:val="none"/>
        </w:rPr>
      </w:pPr>
      <w:r>
        <w:rPr>
          <w:rFonts w:hint="eastAsia" w:ascii="仿宋_GB2312" w:hAnsi="仿宋" w:eastAsia="仿宋_GB2312"/>
          <w:color w:val="auto"/>
          <w:sz w:val="32"/>
          <w:szCs w:val="32"/>
          <w:highlight w:val="none"/>
          <w:lang w:eastAsia="zh-CN"/>
        </w:rPr>
        <w:t>周志明</w:t>
      </w:r>
      <w:r>
        <w:rPr>
          <w:rFonts w:hint="eastAsia" w:ascii="仿宋_GB2312" w:hAnsi="仿宋" w:eastAsia="仿宋_GB2312"/>
          <w:color w:val="auto"/>
          <w:sz w:val="32"/>
          <w:szCs w:val="32"/>
          <w:highlight w:val="none"/>
          <w:lang w:val="en-US" w:eastAsia="zh-CN"/>
        </w:rPr>
        <w:t xml:space="preserve">  </w:t>
      </w:r>
      <w:r>
        <w:rPr>
          <w:rFonts w:hint="eastAsia" w:ascii="仿宋_GB2312" w:hAnsi="仿宋" w:eastAsia="仿宋_GB2312"/>
          <w:sz w:val="32"/>
          <w:szCs w:val="32"/>
          <w:highlight w:val="none"/>
        </w:rPr>
        <w:t>奈曼旗</w:t>
      </w:r>
      <w:r>
        <w:rPr>
          <w:rFonts w:hint="eastAsia" w:ascii="仿宋_GB2312" w:hAnsi="仿宋" w:eastAsia="仿宋_GB2312"/>
          <w:sz w:val="32"/>
          <w:szCs w:val="32"/>
          <w:highlight w:val="none"/>
          <w:lang w:eastAsia="zh-CN"/>
        </w:rPr>
        <w:t>农牧和科技局</w:t>
      </w:r>
      <w:r>
        <w:rPr>
          <w:rFonts w:hint="eastAsia" w:ascii="仿宋_GB2312" w:hAnsi="仿宋" w:eastAsia="仿宋_GB2312"/>
          <w:sz w:val="32"/>
          <w:szCs w:val="32"/>
          <w:highlight w:val="none"/>
          <w:lang w:val="en-US" w:eastAsia="zh-CN"/>
        </w:rPr>
        <w:t>种植股股长</w:t>
      </w:r>
    </w:p>
    <w:p w14:paraId="53DC9B3E">
      <w:pPr>
        <w:keepNext w:val="0"/>
        <w:keepLines w:val="0"/>
        <w:pageBreakBefore w:val="0"/>
        <w:widowControl w:val="0"/>
        <w:kinsoku/>
        <w:wordWrap/>
        <w:overflowPunct/>
        <w:topLinePunct w:val="0"/>
        <w:autoSpaceDE/>
        <w:autoSpaceDN/>
        <w:bidi w:val="0"/>
        <w:adjustRightInd/>
        <w:snapToGrid/>
        <w:spacing w:line="560" w:lineRule="exact"/>
        <w:ind w:left="0" w:leftChars="0" w:firstLine="1920" w:firstLineChars="600"/>
        <w:jc w:val="both"/>
        <w:textAlignment w:val="auto"/>
        <w:rPr>
          <w:rFonts w:hint="eastAsia" w:ascii="仿宋_GB2312" w:hAnsi="仿宋" w:eastAsia="仿宋_GB2312"/>
          <w:sz w:val="32"/>
          <w:szCs w:val="32"/>
          <w:highlight w:val="none"/>
        </w:rPr>
      </w:pPr>
      <w:r>
        <w:rPr>
          <w:rFonts w:hint="eastAsia" w:ascii="仿宋_GB2312" w:hAnsi="仿宋" w:eastAsia="仿宋_GB2312"/>
          <w:sz w:val="32"/>
          <w:szCs w:val="32"/>
          <w:highlight w:val="none"/>
        </w:rPr>
        <w:t>孟  和</w:t>
      </w:r>
      <w:r>
        <w:rPr>
          <w:rFonts w:hint="eastAsia" w:ascii="仿宋_GB2312" w:hAnsi="仿宋" w:eastAsia="仿宋_GB2312"/>
          <w:sz w:val="32"/>
          <w:szCs w:val="32"/>
          <w:highlight w:val="none"/>
          <w:lang w:val="en-US" w:eastAsia="zh-CN"/>
        </w:rPr>
        <w:t xml:space="preserve">  </w:t>
      </w:r>
      <w:r>
        <w:rPr>
          <w:rFonts w:hint="eastAsia" w:ascii="仿宋_GB2312" w:hAnsi="仿宋" w:eastAsia="仿宋_GB2312"/>
          <w:sz w:val="32"/>
          <w:szCs w:val="32"/>
          <w:highlight w:val="none"/>
        </w:rPr>
        <w:t>奈曼旗</w:t>
      </w:r>
      <w:r>
        <w:rPr>
          <w:rFonts w:hint="eastAsia" w:ascii="仿宋_GB2312" w:hAnsi="仿宋" w:eastAsia="仿宋_GB2312"/>
          <w:sz w:val="32"/>
          <w:szCs w:val="32"/>
          <w:highlight w:val="none"/>
          <w:lang w:eastAsia="zh-CN"/>
        </w:rPr>
        <w:t>农牧和科技局</w:t>
      </w:r>
      <w:r>
        <w:rPr>
          <w:rFonts w:hint="eastAsia" w:ascii="仿宋_GB2312" w:hAnsi="仿宋" w:eastAsia="仿宋_GB2312"/>
          <w:sz w:val="32"/>
          <w:szCs w:val="32"/>
          <w:highlight w:val="none"/>
        </w:rPr>
        <w:t>畜牧股股长</w:t>
      </w:r>
    </w:p>
    <w:p w14:paraId="24C1E1DA">
      <w:pPr>
        <w:keepNext w:val="0"/>
        <w:keepLines w:val="0"/>
        <w:pageBreakBefore w:val="0"/>
        <w:widowControl w:val="0"/>
        <w:kinsoku/>
        <w:wordWrap/>
        <w:overflowPunct/>
        <w:topLinePunct w:val="0"/>
        <w:autoSpaceDE/>
        <w:autoSpaceDN/>
        <w:bidi w:val="0"/>
        <w:adjustRightInd/>
        <w:snapToGrid/>
        <w:spacing w:line="560" w:lineRule="exact"/>
        <w:ind w:left="0" w:leftChars="0" w:firstLine="1920" w:firstLineChars="600"/>
        <w:jc w:val="both"/>
        <w:textAlignment w:val="auto"/>
        <w:rPr>
          <w:rFonts w:hint="default" w:ascii="仿宋_GB2312" w:hAnsi="仿宋" w:eastAsia="仿宋_GB2312"/>
          <w:sz w:val="32"/>
          <w:szCs w:val="32"/>
          <w:highlight w:val="none"/>
          <w:lang w:val="en-US" w:eastAsia="zh-CN"/>
        </w:rPr>
      </w:pPr>
      <w:r>
        <w:rPr>
          <w:rFonts w:hint="eastAsia" w:ascii="仿宋_GB2312" w:hAnsi="仿宋" w:eastAsia="仿宋_GB2312"/>
          <w:sz w:val="32"/>
          <w:szCs w:val="32"/>
          <w:highlight w:val="none"/>
          <w:lang w:val="en-US" w:eastAsia="zh-CN"/>
        </w:rPr>
        <w:t>宋晓燕  奈曼旗农牧和科技局农机股股长</w:t>
      </w:r>
    </w:p>
    <w:p w14:paraId="1EE447BF">
      <w:pPr>
        <w:keepNext w:val="0"/>
        <w:keepLines w:val="0"/>
        <w:pageBreakBefore w:val="0"/>
        <w:widowControl w:val="0"/>
        <w:kinsoku/>
        <w:wordWrap/>
        <w:overflowPunct/>
        <w:topLinePunct w:val="0"/>
        <w:autoSpaceDE/>
        <w:autoSpaceDN/>
        <w:bidi w:val="0"/>
        <w:adjustRightInd/>
        <w:snapToGrid/>
        <w:spacing w:line="560" w:lineRule="exact"/>
        <w:ind w:left="0" w:leftChars="0" w:firstLine="1920" w:firstLineChars="600"/>
        <w:jc w:val="both"/>
        <w:textAlignment w:val="auto"/>
        <w:rPr>
          <w:rFonts w:hint="eastAsia" w:ascii="仿宋_GB2312" w:hAnsi="仿宋" w:eastAsia="仿宋_GB2312"/>
          <w:sz w:val="32"/>
          <w:szCs w:val="32"/>
          <w:highlight w:val="none"/>
          <w:lang w:val="en-US" w:eastAsia="zh-CN"/>
        </w:rPr>
      </w:pPr>
      <w:r>
        <w:rPr>
          <w:rFonts w:hint="eastAsia" w:ascii="仿宋_GB2312" w:hAnsi="宋体" w:eastAsia="仿宋_GB2312"/>
          <w:sz w:val="32"/>
          <w:szCs w:val="32"/>
          <w:highlight w:val="none"/>
          <w:lang w:val="en-US" w:eastAsia="zh-CN"/>
        </w:rPr>
        <w:t xml:space="preserve">高凤林  </w:t>
      </w:r>
      <w:r>
        <w:rPr>
          <w:rFonts w:hint="eastAsia" w:ascii="仿宋_GB2312" w:hAnsi="仿宋" w:eastAsia="仿宋_GB2312"/>
          <w:sz w:val="32"/>
          <w:szCs w:val="32"/>
          <w:highlight w:val="none"/>
          <w:lang w:val="en-US" w:eastAsia="zh-CN"/>
        </w:rPr>
        <w:t>奈曼旗动物疫病预防控制</w:t>
      </w:r>
      <w:r>
        <w:rPr>
          <w:rFonts w:hint="eastAsia" w:ascii="仿宋_GB2312" w:hAnsi="仿宋" w:eastAsia="仿宋_GB2312"/>
          <w:sz w:val="32"/>
          <w:szCs w:val="32"/>
          <w:highlight w:val="none"/>
          <w:lang w:eastAsia="zh-CN"/>
        </w:rPr>
        <w:t>中心</w:t>
      </w:r>
      <w:r>
        <w:rPr>
          <w:rFonts w:hint="eastAsia" w:ascii="仿宋_GB2312" w:hAnsi="仿宋" w:eastAsia="仿宋_GB2312"/>
          <w:sz w:val="32"/>
          <w:szCs w:val="32"/>
          <w:highlight w:val="none"/>
          <w:lang w:val="en-US" w:eastAsia="zh-CN"/>
        </w:rPr>
        <w:t>主任</w:t>
      </w:r>
    </w:p>
    <w:p w14:paraId="25BA913E">
      <w:pPr>
        <w:keepNext w:val="0"/>
        <w:keepLines w:val="0"/>
        <w:pageBreakBefore w:val="0"/>
        <w:widowControl w:val="0"/>
        <w:kinsoku/>
        <w:wordWrap/>
        <w:overflowPunct/>
        <w:topLinePunct w:val="0"/>
        <w:autoSpaceDE/>
        <w:autoSpaceDN/>
        <w:bidi w:val="0"/>
        <w:adjustRightInd/>
        <w:snapToGrid/>
        <w:spacing w:line="560" w:lineRule="exact"/>
        <w:ind w:left="0" w:leftChars="0" w:firstLine="1920" w:firstLineChars="600"/>
        <w:jc w:val="both"/>
        <w:textAlignment w:val="auto"/>
        <w:rPr>
          <w:rFonts w:hint="eastAsia" w:ascii="仿宋_GB2312" w:hAnsi="仿宋" w:eastAsia="仿宋_GB2312"/>
          <w:sz w:val="32"/>
          <w:szCs w:val="32"/>
          <w:highlight w:val="none"/>
        </w:rPr>
      </w:pPr>
      <w:r>
        <w:rPr>
          <w:rFonts w:hint="eastAsia" w:ascii="仿宋_GB2312" w:hAnsi="宋体" w:eastAsia="仿宋_GB2312"/>
          <w:sz w:val="32"/>
          <w:szCs w:val="32"/>
          <w:highlight w:val="none"/>
          <w:lang w:val="en-US" w:eastAsia="zh-CN"/>
        </w:rPr>
        <w:t xml:space="preserve">陈学斌  </w:t>
      </w:r>
      <w:r>
        <w:rPr>
          <w:rFonts w:hint="eastAsia" w:ascii="仿宋_GB2312" w:hAnsi="仿宋" w:eastAsia="仿宋_GB2312"/>
          <w:color w:val="auto"/>
          <w:sz w:val="32"/>
          <w:szCs w:val="32"/>
          <w:highlight w:val="none"/>
        </w:rPr>
        <w:t>奈曼旗畜</w:t>
      </w:r>
      <w:r>
        <w:rPr>
          <w:rFonts w:hint="eastAsia" w:ascii="仿宋_GB2312" w:hAnsi="仿宋" w:eastAsia="仿宋_GB2312"/>
          <w:color w:val="auto"/>
          <w:sz w:val="32"/>
          <w:szCs w:val="32"/>
          <w:highlight w:val="none"/>
          <w:lang w:eastAsia="zh-CN"/>
        </w:rPr>
        <w:t>牧业发展中心主任</w:t>
      </w:r>
    </w:p>
    <w:p w14:paraId="51A8EE5D">
      <w:pPr>
        <w:keepNext w:val="0"/>
        <w:keepLines w:val="0"/>
        <w:pageBreakBefore w:val="0"/>
        <w:widowControl w:val="0"/>
        <w:kinsoku/>
        <w:wordWrap/>
        <w:overflowPunct/>
        <w:topLinePunct w:val="0"/>
        <w:autoSpaceDE/>
        <w:autoSpaceDN/>
        <w:bidi w:val="0"/>
        <w:adjustRightInd/>
        <w:snapToGrid/>
        <w:spacing w:line="560" w:lineRule="exact"/>
        <w:ind w:firstLine="1920" w:firstLineChars="600"/>
        <w:jc w:val="both"/>
        <w:textAlignment w:val="auto"/>
        <w:rPr>
          <w:rFonts w:hint="eastAsia" w:ascii="仿宋_GB2312" w:hAnsi="仿宋" w:eastAsia="仿宋_GB2312"/>
          <w:sz w:val="32"/>
          <w:szCs w:val="32"/>
          <w:highlight w:val="none"/>
        </w:rPr>
      </w:pPr>
      <w:r>
        <w:rPr>
          <w:rFonts w:hint="eastAsia" w:ascii="仿宋_GB2312" w:hAnsi="仿宋" w:eastAsia="仿宋_GB2312"/>
          <w:sz w:val="32"/>
          <w:szCs w:val="32"/>
          <w:highlight w:val="none"/>
          <w:lang w:val="en-US" w:eastAsia="zh-CN"/>
        </w:rPr>
        <w:t xml:space="preserve">姜海超  </w:t>
      </w:r>
      <w:r>
        <w:rPr>
          <w:rFonts w:hint="eastAsia" w:ascii="仿宋_GB2312" w:hAnsi="仿宋" w:eastAsia="仿宋_GB2312"/>
          <w:sz w:val="32"/>
          <w:szCs w:val="32"/>
          <w:highlight w:val="none"/>
        </w:rPr>
        <w:t>奈曼旗农业技术推广中心</w:t>
      </w:r>
      <w:r>
        <w:rPr>
          <w:rFonts w:hint="eastAsia" w:ascii="仿宋_GB2312" w:hAnsi="仿宋" w:eastAsia="仿宋_GB2312"/>
          <w:sz w:val="32"/>
          <w:szCs w:val="32"/>
          <w:highlight w:val="none"/>
          <w:lang w:val="en-US" w:eastAsia="zh-CN"/>
        </w:rPr>
        <w:t>副</w:t>
      </w:r>
      <w:r>
        <w:rPr>
          <w:rFonts w:hint="eastAsia" w:ascii="仿宋_GB2312" w:hAnsi="仿宋" w:eastAsia="仿宋_GB2312"/>
          <w:sz w:val="32"/>
          <w:szCs w:val="32"/>
          <w:highlight w:val="none"/>
        </w:rPr>
        <w:t>主任</w:t>
      </w:r>
    </w:p>
    <w:p w14:paraId="0DC71971">
      <w:pPr>
        <w:keepNext w:val="0"/>
        <w:keepLines w:val="0"/>
        <w:pageBreakBefore w:val="0"/>
        <w:widowControl w:val="0"/>
        <w:kinsoku/>
        <w:wordWrap/>
        <w:overflowPunct/>
        <w:topLinePunct w:val="0"/>
        <w:autoSpaceDE/>
        <w:autoSpaceDN/>
        <w:bidi w:val="0"/>
        <w:adjustRightInd/>
        <w:snapToGrid/>
        <w:spacing w:line="560" w:lineRule="exact"/>
        <w:ind w:firstLine="1920" w:firstLineChars="600"/>
        <w:jc w:val="both"/>
        <w:textAlignment w:val="auto"/>
        <w:rPr>
          <w:rFonts w:hint="eastAsia" w:ascii="仿宋_GB2312" w:hAnsi="仿宋" w:eastAsia="仿宋_GB2312"/>
          <w:color w:val="auto"/>
          <w:sz w:val="32"/>
          <w:szCs w:val="32"/>
          <w:highlight w:val="none"/>
          <w:lang w:eastAsia="zh-CN"/>
        </w:rPr>
      </w:pPr>
      <w:r>
        <w:rPr>
          <w:rFonts w:hint="eastAsia" w:ascii="仿宋_GB2312" w:hAnsi="宋体" w:eastAsia="仿宋_GB2312"/>
          <w:color w:val="auto"/>
          <w:sz w:val="32"/>
          <w:szCs w:val="32"/>
          <w:highlight w:val="none"/>
          <w:lang w:val="en-US" w:eastAsia="zh-CN"/>
        </w:rPr>
        <w:t xml:space="preserve">李  烁  </w:t>
      </w:r>
      <w:r>
        <w:rPr>
          <w:rFonts w:hint="eastAsia" w:ascii="仿宋_GB2312" w:hAnsi="仿宋" w:eastAsia="仿宋_GB2312"/>
          <w:color w:val="auto"/>
          <w:sz w:val="32"/>
          <w:szCs w:val="32"/>
          <w:highlight w:val="none"/>
        </w:rPr>
        <w:t>奈曼旗</w:t>
      </w:r>
      <w:r>
        <w:rPr>
          <w:rFonts w:hint="eastAsia" w:ascii="仿宋_GB2312" w:hAnsi="仿宋" w:eastAsia="仿宋_GB2312"/>
          <w:sz w:val="32"/>
          <w:szCs w:val="32"/>
          <w:highlight w:val="none"/>
          <w:lang w:eastAsia="zh-CN"/>
        </w:rPr>
        <w:t>农牧和科技局计</w:t>
      </w:r>
      <w:r>
        <w:rPr>
          <w:rFonts w:hint="eastAsia" w:ascii="仿宋_GB2312" w:hAnsi="仿宋" w:eastAsia="仿宋_GB2312"/>
          <w:color w:val="auto"/>
          <w:sz w:val="32"/>
          <w:szCs w:val="32"/>
          <w:highlight w:val="none"/>
        </w:rPr>
        <w:t>财</w:t>
      </w:r>
      <w:r>
        <w:rPr>
          <w:rFonts w:hint="eastAsia" w:ascii="仿宋_GB2312" w:hAnsi="仿宋" w:eastAsia="仿宋_GB2312"/>
          <w:color w:val="auto"/>
          <w:sz w:val="32"/>
          <w:szCs w:val="32"/>
          <w:highlight w:val="none"/>
          <w:lang w:eastAsia="zh-CN"/>
        </w:rPr>
        <w:t>股</w:t>
      </w:r>
      <w:r>
        <w:rPr>
          <w:rFonts w:hint="eastAsia" w:ascii="仿宋_GB2312" w:hAnsi="仿宋" w:eastAsia="仿宋_GB2312"/>
          <w:color w:val="auto"/>
          <w:sz w:val="32"/>
          <w:szCs w:val="32"/>
          <w:highlight w:val="none"/>
          <w:lang w:val="en-US" w:eastAsia="zh-CN"/>
        </w:rPr>
        <w:t>股长</w:t>
      </w:r>
    </w:p>
    <w:p w14:paraId="265C6FCB">
      <w:pPr>
        <w:keepNext w:val="0"/>
        <w:keepLines w:val="0"/>
        <w:pageBreakBefore w:val="0"/>
        <w:widowControl w:val="0"/>
        <w:kinsoku/>
        <w:wordWrap/>
        <w:overflowPunct/>
        <w:topLinePunct w:val="0"/>
        <w:autoSpaceDE/>
        <w:autoSpaceDN/>
        <w:bidi w:val="0"/>
        <w:adjustRightInd/>
        <w:snapToGrid/>
        <w:spacing w:line="560" w:lineRule="exact"/>
        <w:ind w:firstLine="1920" w:firstLineChars="600"/>
        <w:jc w:val="both"/>
        <w:textAlignment w:val="auto"/>
        <w:rPr>
          <w:rFonts w:hint="eastAsia" w:ascii="仿宋_GB2312" w:hAnsi="仿宋" w:eastAsia="仿宋_GB2312"/>
          <w:color w:val="auto"/>
          <w:sz w:val="32"/>
          <w:szCs w:val="32"/>
          <w:highlight w:val="none"/>
        </w:rPr>
      </w:pPr>
      <w:r>
        <w:rPr>
          <w:rFonts w:hint="eastAsia" w:ascii="仿宋_GB2312" w:hAnsi="仿宋" w:eastAsia="仿宋_GB2312"/>
          <w:color w:val="auto"/>
          <w:sz w:val="32"/>
          <w:szCs w:val="32"/>
          <w:highlight w:val="none"/>
          <w:lang w:val="en-US" w:eastAsia="zh-CN"/>
        </w:rPr>
        <w:t xml:space="preserve">徐燕臣  </w:t>
      </w:r>
      <w:r>
        <w:rPr>
          <w:rFonts w:hint="eastAsia" w:ascii="仿宋_GB2312" w:hAnsi="仿宋" w:eastAsia="仿宋_GB2312"/>
          <w:color w:val="auto"/>
          <w:sz w:val="32"/>
          <w:szCs w:val="32"/>
          <w:highlight w:val="none"/>
        </w:rPr>
        <w:t>奈曼旗</w:t>
      </w:r>
      <w:r>
        <w:rPr>
          <w:rFonts w:hint="eastAsia" w:ascii="仿宋_GB2312" w:hAnsi="仿宋" w:eastAsia="仿宋_GB2312"/>
          <w:color w:val="auto"/>
          <w:sz w:val="32"/>
          <w:szCs w:val="32"/>
          <w:highlight w:val="none"/>
          <w:lang w:eastAsia="zh-CN"/>
        </w:rPr>
        <w:t>农牧和科技局</w:t>
      </w:r>
      <w:r>
        <w:rPr>
          <w:rFonts w:hint="eastAsia" w:ascii="仿宋_GB2312" w:hAnsi="仿宋" w:eastAsia="仿宋_GB2312"/>
          <w:color w:val="auto"/>
          <w:sz w:val="32"/>
          <w:szCs w:val="32"/>
          <w:highlight w:val="none"/>
          <w:lang w:val="en-US" w:eastAsia="zh-CN"/>
        </w:rPr>
        <w:t>科教</w:t>
      </w:r>
      <w:r>
        <w:rPr>
          <w:rFonts w:hint="eastAsia" w:ascii="仿宋_GB2312" w:hAnsi="仿宋" w:eastAsia="仿宋_GB2312"/>
          <w:color w:val="auto"/>
          <w:sz w:val="32"/>
          <w:szCs w:val="32"/>
          <w:highlight w:val="none"/>
        </w:rPr>
        <w:t>股</w:t>
      </w:r>
      <w:r>
        <w:rPr>
          <w:rFonts w:hint="eastAsia" w:ascii="仿宋_GB2312" w:hAnsi="仿宋" w:eastAsia="仿宋_GB2312"/>
          <w:color w:val="auto"/>
          <w:sz w:val="32"/>
          <w:szCs w:val="32"/>
          <w:highlight w:val="none"/>
          <w:lang w:val="en-US" w:eastAsia="zh-CN"/>
        </w:rPr>
        <w:t>科员</w:t>
      </w:r>
    </w:p>
    <w:p w14:paraId="2798B72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rPr>
        <w:t>领导小组办公室设在</w:t>
      </w:r>
      <w:r>
        <w:rPr>
          <w:rFonts w:hint="eastAsia" w:ascii="Times New Roman" w:hAnsi="Times New Roman" w:eastAsia="仿宋_GB2312" w:cs="Times New Roman"/>
          <w:color w:val="auto"/>
          <w:sz w:val="32"/>
          <w:szCs w:val="32"/>
          <w:highlight w:val="none"/>
          <w:lang w:val="en-US" w:eastAsia="zh-CN"/>
        </w:rPr>
        <w:t>农牧和科技局</w:t>
      </w:r>
      <w:r>
        <w:rPr>
          <w:rFonts w:hint="default" w:ascii="Times New Roman" w:hAnsi="Times New Roman" w:eastAsia="仿宋_GB2312" w:cs="Times New Roman"/>
          <w:color w:val="auto"/>
          <w:sz w:val="32"/>
          <w:szCs w:val="32"/>
          <w:highlight w:val="none"/>
        </w:rPr>
        <w:t>科教</w:t>
      </w:r>
      <w:r>
        <w:rPr>
          <w:rFonts w:hint="eastAsia" w:ascii="Times New Roman" w:hAnsi="Times New Roman" w:eastAsia="仿宋_GB2312" w:cs="Times New Roman"/>
          <w:color w:val="auto"/>
          <w:sz w:val="32"/>
          <w:szCs w:val="32"/>
          <w:highlight w:val="none"/>
          <w:lang w:val="en-US" w:eastAsia="zh-CN"/>
        </w:rPr>
        <w:t>股，主要负责农技推广补助项目方案编制、信息报送、农技人员和基地遴选监管等方面日常工作。</w:t>
      </w:r>
    </w:p>
    <w:p w14:paraId="01B16EDD">
      <w:pPr>
        <w:pStyle w:val="2"/>
        <w:jc w:val="both"/>
        <w:rPr>
          <w:rFonts w:hint="default" w:ascii="Times New Roman" w:hAnsi="Times New Roman" w:eastAsia="仿宋_GB2312" w:cs="Times New Roman"/>
          <w:color w:val="auto"/>
          <w:sz w:val="32"/>
          <w:szCs w:val="32"/>
          <w:highlight w:val="none"/>
          <w:lang w:val="en-US" w:eastAsia="zh-CN"/>
        </w:rPr>
      </w:pPr>
    </w:p>
    <w:p w14:paraId="5916E658">
      <w:pPr>
        <w:tabs>
          <w:tab w:val="left" w:pos="1568"/>
        </w:tabs>
        <w:bidi w:val="0"/>
        <w:jc w:val="left"/>
        <w:rPr>
          <w:rFonts w:hint="eastAsia"/>
          <w:lang w:val="en-US" w:eastAsia="zh-CN"/>
        </w:rPr>
        <w:sectPr>
          <w:footerReference r:id="rId3" w:type="default"/>
          <w:pgSz w:w="11906" w:h="16838"/>
          <w:pgMar w:top="2098" w:right="1474" w:bottom="1871" w:left="1587" w:header="851" w:footer="992" w:gutter="0"/>
          <w:pgNumType w:start="1"/>
          <w:cols w:space="720" w:num="1"/>
          <w:docGrid w:type="lines" w:linePitch="312" w:charSpace="0"/>
        </w:sectPr>
      </w:pPr>
    </w:p>
    <w:p w14:paraId="44F67534">
      <w:pPr>
        <w:keepNext w:val="0"/>
        <w:keepLines w:val="0"/>
        <w:pageBreakBefore w:val="0"/>
        <w:widowControl w:val="0"/>
        <w:kinsoku/>
        <w:wordWrap/>
        <w:overflowPunct/>
        <w:topLinePunct w:val="0"/>
        <w:autoSpaceDE/>
        <w:autoSpaceDN/>
        <w:bidi w:val="0"/>
        <w:adjustRightInd/>
        <w:snapToGrid/>
        <w:jc w:val="both"/>
        <w:textAlignment w:val="auto"/>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2</w:t>
      </w:r>
    </w:p>
    <w:p w14:paraId="355180B6">
      <w:pPr>
        <w:pStyle w:val="2"/>
        <w:rPr>
          <w:rFonts w:hint="eastAsia"/>
          <w:sz w:val="21"/>
          <w:szCs w:val="21"/>
          <w:lang w:val="en-US" w:eastAsia="zh-CN"/>
        </w:rPr>
      </w:pPr>
    </w:p>
    <w:p w14:paraId="48C4FAAD">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b w:val="0"/>
          <w:bCs/>
          <w:color w:val="000000"/>
          <w:sz w:val="44"/>
          <w:szCs w:val="44"/>
          <w:lang w:eastAsia="zh-CN"/>
        </w:rPr>
      </w:pPr>
      <w:r>
        <w:rPr>
          <w:rFonts w:hint="eastAsia" w:ascii="方正小标宋简体" w:hAnsi="方正小标宋简体" w:eastAsia="方正小标宋简体" w:cs="方正小标宋简体"/>
          <w:b w:val="0"/>
          <w:bCs/>
          <w:color w:val="000000"/>
          <w:sz w:val="44"/>
          <w:szCs w:val="44"/>
          <w:lang w:val="en-US" w:eastAsia="zh-CN"/>
        </w:rPr>
        <w:t>奈曼旗</w:t>
      </w:r>
      <w:r>
        <w:rPr>
          <w:rFonts w:hint="eastAsia" w:ascii="方正小标宋简体" w:hAnsi="方正小标宋简体" w:eastAsia="方正小标宋简体" w:cs="方正小标宋简体"/>
          <w:b w:val="0"/>
          <w:bCs/>
          <w:color w:val="000000"/>
          <w:sz w:val="44"/>
          <w:szCs w:val="44"/>
        </w:rPr>
        <w:t>202</w:t>
      </w:r>
      <w:r>
        <w:rPr>
          <w:rFonts w:hint="eastAsia" w:ascii="方正小标宋简体" w:hAnsi="方正小标宋简体" w:eastAsia="方正小标宋简体" w:cs="方正小标宋简体"/>
          <w:b w:val="0"/>
          <w:bCs/>
          <w:color w:val="000000"/>
          <w:sz w:val="44"/>
          <w:szCs w:val="44"/>
          <w:lang w:val="en-US" w:eastAsia="zh-CN"/>
        </w:rPr>
        <w:t>4</w:t>
      </w:r>
      <w:r>
        <w:rPr>
          <w:rFonts w:hint="eastAsia" w:ascii="方正小标宋简体" w:hAnsi="方正小标宋简体" w:eastAsia="方正小标宋简体" w:cs="方正小标宋简体"/>
          <w:b w:val="0"/>
          <w:bCs/>
          <w:color w:val="000000"/>
          <w:sz w:val="44"/>
          <w:szCs w:val="44"/>
        </w:rPr>
        <w:t>年基层农</w:t>
      </w:r>
      <w:r>
        <w:rPr>
          <w:rFonts w:hint="eastAsia" w:ascii="方正小标宋简体" w:hAnsi="方正小标宋简体" w:eastAsia="方正小标宋简体" w:cs="方正小标宋简体"/>
          <w:b w:val="0"/>
          <w:bCs/>
          <w:color w:val="000000"/>
          <w:sz w:val="44"/>
          <w:szCs w:val="44"/>
          <w:lang w:val="en-US" w:eastAsia="zh-CN"/>
        </w:rPr>
        <w:t>技</w:t>
      </w:r>
      <w:r>
        <w:rPr>
          <w:rFonts w:hint="eastAsia" w:ascii="方正小标宋简体" w:hAnsi="方正小标宋简体" w:eastAsia="方正小标宋简体" w:cs="方正小标宋简体"/>
          <w:b w:val="0"/>
          <w:bCs/>
          <w:color w:val="000000"/>
          <w:sz w:val="44"/>
          <w:szCs w:val="44"/>
        </w:rPr>
        <w:t>推广体系改革与建设</w:t>
      </w:r>
      <w:r>
        <w:rPr>
          <w:rFonts w:hint="eastAsia" w:ascii="方正小标宋简体" w:hAnsi="方正小标宋简体" w:eastAsia="方正小标宋简体" w:cs="方正小标宋简体"/>
          <w:b w:val="0"/>
          <w:bCs/>
          <w:color w:val="000000"/>
          <w:sz w:val="44"/>
          <w:szCs w:val="44"/>
          <w:lang w:eastAsia="zh-CN"/>
        </w:rPr>
        <w:t>补助项目</w:t>
      </w:r>
    </w:p>
    <w:p w14:paraId="01D7DB69">
      <w:pPr>
        <w:keepNext w:val="0"/>
        <w:keepLines w:val="0"/>
        <w:pageBreakBefore w:val="0"/>
        <w:widowControl w:val="0"/>
        <w:kinsoku/>
        <w:wordWrap/>
        <w:overflowPunct/>
        <w:topLinePunct w:val="0"/>
        <w:autoSpaceDE/>
        <w:autoSpaceDN/>
        <w:bidi w:val="0"/>
        <w:adjustRightInd/>
        <w:snapToGrid/>
        <w:spacing w:after="312" w:afterLines="100" w:line="700" w:lineRule="exact"/>
        <w:jc w:val="center"/>
        <w:textAlignment w:val="auto"/>
        <w:rPr>
          <w:rFonts w:hint="eastAsia" w:ascii="方正小标宋简体" w:hAnsi="方正小标宋简体" w:eastAsia="方正小标宋简体" w:cs="方正小标宋简体"/>
          <w:b w:val="0"/>
          <w:bCs/>
          <w:color w:val="000000"/>
          <w:sz w:val="44"/>
          <w:szCs w:val="44"/>
          <w:lang w:eastAsia="zh-CN"/>
        </w:rPr>
      </w:pPr>
      <w:r>
        <w:rPr>
          <w:rFonts w:hint="eastAsia" w:ascii="方正小标宋简体" w:hAnsi="方正小标宋简体" w:eastAsia="方正小标宋简体" w:cs="方正小标宋简体"/>
          <w:b w:val="0"/>
          <w:bCs/>
          <w:color w:val="000000"/>
          <w:sz w:val="44"/>
          <w:szCs w:val="44"/>
          <w:lang w:val="en-US" w:eastAsia="zh-CN"/>
        </w:rPr>
        <w:t>专家</w:t>
      </w:r>
      <w:r>
        <w:rPr>
          <w:rFonts w:hint="eastAsia" w:ascii="方正小标宋简体" w:hAnsi="方正小标宋简体" w:eastAsia="方正小标宋简体" w:cs="方正小标宋简体"/>
          <w:b w:val="0"/>
          <w:bCs/>
          <w:kern w:val="2"/>
          <w:sz w:val="44"/>
          <w:szCs w:val="44"/>
          <w:lang w:val="en-US" w:eastAsia="zh-CN" w:bidi="ar-SA"/>
        </w:rPr>
        <w:t>指导</w:t>
      </w:r>
      <w:r>
        <w:rPr>
          <w:rFonts w:hint="eastAsia" w:ascii="方正小标宋简体" w:hAnsi="方正小标宋简体" w:eastAsia="方正小标宋简体" w:cs="方正小标宋简体"/>
          <w:b w:val="0"/>
          <w:bCs/>
          <w:color w:val="000000"/>
          <w:sz w:val="44"/>
          <w:szCs w:val="44"/>
        </w:rPr>
        <w:t>小组</w:t>
      </w:r>
      <w:r>
        <w:rPr>
          <w:rFonts w:hint="eastAsia" w:ascii="方正小标宋简体" w:hAnsi="方正小标宋简体" w:eastAsia="方正小标宋简体" w:cs="方正小标宋简体"/>
          <w:b w:val="0"/>
          <w:bCs/>
          <w:color w:val="000000"/>
          <w:sz w:val="44"/>
          <w:szCs w:val="44"/>
          <w:lang w:eastAsia="zh-CN"/>
        </w:rPr>
        <w:t>名单</w:t>
      </w:r>
    </w:p>
    <w:p w14:paraId="571DE8DF">
      <w:pPr>
        <w:pStyle w:val="2"/>
        <w:rPr>
          <w:rFonts w:hint="eastAsia"/>
          <w:sz w:val="21"/>
          <w:szCs w:val="21"/>
        </w:rPr>
      </w:pPr>
    </w:p>
    <w:p w14:paraId="12664925">
      <w:pPr>
        <w:keepNext w:val="0"/>
        <w:keepLines w:val="0"/>
        <w:pageBreakBefore w:val="0"/>
        <w:widowControl w:val="0"/>
        <w:kinsoku/>
        <w:wordWrap/>
        <w:overflowPunct/>
        <w:topLinePunct w:val="0"/>
        <w:autoSpaceDE/>
        <w:autoSpaceDN/>
        <w:bidi w:val="0"/>
        <w:adjustRightInd/>
        <w:snapToGrid/>
        <w:spacing w:line="560" w:lineRule="exact"/>
        <w:ind w:firstLine="1920" w:firstLineChars="600"/>
        <w:jc w:val="both"/>
        <w:textAlignment w:val="auto"/>
        <w:rPr>
          <w:rFonts w:hint="eastAsia" w:ascii="仿宋_GB2312" w:hAnsi="仿宋" w:eastAsia="仿宋_GB2312"/>
          <w:sz w:val="32"/>
          <w:szCs w:val="32"/>
          <w:highlight w:val="none"/>
          <w:lang w:val="en-US" w:eastAsia="zh-CN"/>
        </w:rPr>
      </w:pPr>
      <w:r>
        <w:rPr>
          <w:rFonts w:hint="eastAsia" w:ascii="仿宋_GB2312" w:hAnsi="仿宋" w:eastAsia="仿宋_GB2312"/>
          <w:sz w:val="32"/>
          <w:szCs w:val="32"/>
          <w:highlight w:val="none"/>
          <w:lang w:val="en-US" w:eastAsia="zh-CN"/>
        </w:rPr>
        <w:t>组  长：鲍宏云  奈曼旗农牧和科技局副局长</w:t>
      </w:r>
    </w:p>
    <w:p w14:paraId="7457E938">
      <w:pPr>
        <w:keepNext w:val="0"/>
        <w:keepLines w:val="0"/>
        <w:pageBreakBefore w:val="0"/>
        <w:widowControl w:val="0"/>
        <w:kinsoku/>
        <w:wordWrap/>
        <w:overflowPunct/>
        <w:topLinePunct w:val="0"/>
        <w:autoSpaceDE/>
        <w:autoSpaceDN/>
        <w:bidi w:val="0"/>
        <w:adjustRightInd/>
        <w:snapToGrid/>
        <w:spacing w:line="560" w:lineRule="exact"/>
        <w:ind w:left="0" w:leftChars="0" w:firstLine="1920" w:firstLineChars="600"/>
        <w:jc w:val="both"/>
        <w:textAlignment w:val="auto"/>
        <w:rPr>
          <w:rFonts w:hint="eastAsia" w:ascii="仿宋_GB2312" w:hAnsi="仿宋" w:eastAsia="仿宋_GB2312"/>
          <w:sz w:val="32"/>
          <w:szCs w:val="32"/>
          <w:highlight w:val="none"/>
          <w:lang w:val="en-US" w:eastAsia="zh-CN"/>
        </w:rPr>
      </w:pPr>
      <w:r>
        <w:rPr>
          <w:rFonts w:hint="eastAsia" w:ascii="仿宋_GB2312" w:hAnsi="仿宋" w:eastAsia="仿宋_GB2312"/>
          <w:sz w:val="32"/>
          <w:szCs w:val="32"/>
          <w:highlight w:val="none"/>
          <w:lang w:val="en-US" w:eastAsia="zh-CN"/>
        </w:rPr>
        <w:t>成  员：高凤林  奈曼旗动物疫病预防控制中心主任</w:t>
      </w:r>
    </w:p>
    <w:p w14:paraId="2A7352E9">
      <w:pPr>
        <w:keepNext w:val="0"/>
        <w:keepLines w:val="0"/>
        <w:pageBreakBefore w:val="0"/>
        <w:widowControl w:val="0"/>
        <w:kinsoku/>
        <w:wordWrap/>
        <w:overflowPunct/>
        <w:topLinePunct w:val="0"/>
        <w:autoSpaceDE/>
        <w:autoSpaceDN/>
        <w:bidi w:val="0"/>
        <w:adjustRightInd/>
        <w:snapToGrid/>
        <w:spacing w:line="560" w:lineRule="exact"/>
        <w:ind w:left="0" w:leftChars="0" w:firstLine="3200" w:firstLineChars="1000"/>
        <w:jc w:val="both"/>
        <w:textAlignment w:val="auto"/>
        <w:rPr>
          <w:rFonts w:hint="eastAsia" w:ascii="仿宋_GB2312" w:hAnsi="仿宋" w:eastAsia="仿宋_GB2312"/>
          <w:sz w:val="32"/>
          <w:szCs w:val="32"/>
          <w:highlight w:val="none"/>
          <w:lang w:val="en-US" w:eastAsia="zh-CN"/>
        </w:rPr>
      </w:pPr>
      <w:r>
        <w:rPr>
          <w:rFonts w:hint="eastAsia" w:ascii="仿宋_GB2312" w:hAnsi="仿宋" w:eastAsia="仿宋_GB2312"/>
          <w:sz w:val="32"/>
          <w:szCs w:val="32"/>
          <w:highlight w:val="none"/>
          <w:lang w:val="en-US" w:eastAsia="zh-CN"/>
        </w:rPr>
        <w:t>李爱武  奈曼旗农畜产品质量安全中心主任</w:t>
      </w:r>
    </w:p>
    <w:p w14:paraId="0E937CD9">
      <w:pPr>
        <w:keepNext w:val="0"/>
        <w:keepLines w:val="0"/>
        <w:pageBreakBefore w:val="0"/>
        <w:widowControl w:val="0"/>
        <w:kinsoku/>
        <w:wordWrap/>
        <w:overflowPunct/>
        <w:topLinePunct w:val="0"/>
        <w:autoSpaceDE/>
        <w:autoSpaceDN/>
        <w:bidi w:val="0"/>
        <w:adjustRightInd/>
        <w:snapToGrid/>
        <w:spacing w:line="560" w:lineRule="exact"/>
        <w:ind w:left="0" w:leftChars="0" w:firstLine="3200" w:firstLineChars="1000"/>
        <w:jc w:val="both"/>
        <w:textAlignment w:val="auto"/>
        <w:rPr>
          <w:rFonts w:hint="eastAsia" w:ascii="仿宋_GB2312" w:hAnsi="仿宋" w:eastAsia="仿宋_GB2312"/>
          <w:sz w:val="32"/>
          <w:szCs w:val="32"/>
          <w:highlight w:val="none"/>
          <w:lang w:val="en-US" w:eastAsia="zh-CN"/>
        </w:rPr>
      </w:pPr>
      <w:r>
        <w:rPr>
          <w:rFonts w:hint="eastAsia" w:ascii="仿宋_GB2312" w:hAnsi="仿宋" w:eastAsia="仿宋_GB2312"/>
          <w:sz w:val="32"/>
          <w:szCs w:val="32"/>
          <w:highlight w:val="none"/>
          <w:lang w:val="en-US" w:eastAsia="zh-CN"/>
        </w:rPr>
        <w:t>陈学斌  奈曼旗畜牧业发展中心主任</w:t>
      </w:r>
    </w:p>
    <w:p w14:paraId="1903AA78">
      <w:pPr>
        <w:keepNext w:val="0"/>
        <w:keepLines w:val="0"/>
        <w:pageBreakBefore w:val="0"/>
        <w:widowControl w:val="0"/>
        <w:kinsoku/>
        <w:wordWrap/>
        <w:overflowPunct/>
        <w:topLinePunct w:val="0"/>
        <w:autoSpaceDE/>
        <w:autoSpaceDN/>
        <w:bidi w:val="0"/>
        <w:adjustRightInd/>
        <w:snapToGrid/>
        <w:spacing w:line="560" w:lineRule="exact"/>
        <w:ind w:firstLine="3200" w:firstLineChars="1000"/>
        <w:jc w:val="both"/>
        <w:textAlignment w:val="auto"/>
        <w:rPr>
          <w:rFonts w:hint="eastAsia" w:ascii="仿宋_GB2312" w:hAnsi="仿宋" w:eastAsia="仿宋_GB2312"/>
          <w:sz w:val="32"/>
          <w:szCs w:val="32"/>
          <w:highlight w:val="none"/>
          <w:lang w:val="en-US" w:eastAsia="zh-CN"/>
        </w:rPr>
      </w:pPr>
      <w:r>
        <w:rPr>
          <w:rFonts w:hint="eastAsia" w:ascii="仿宋_GB2312" w:hAnsi="仿宋" w:eastAsia="仿宋_GB2312"/>
          <w:sz w:val="32"/>
          <w:szCs w:val="32"/>
          <w:highlight w:val="none"/>
          <w:lang w:val="en-US" w:eastAsia="zh-CN"/>
        </w:rPr>
        <w:t>姜海超  奈曼旗农业技术推广中心副主任</w:t>
      </w:r>
    </w:p>
    <w:p w14:paraId="7B0B7C25">
      <w:pPr>
        <w:keepNext w:val="0"/>
        <w:keepLines w:val="0"/>
        <w:pageBreakBefore w:val="0"/>
        <w:widowControl w:val="0"/>
        <w:kinsoku/>
        <w:wordWrap/>
        <w:overflowPunct/>
        <w:topLinePunct w:val="0"/>
        <w:autoSpaceDE/>
        <w:autoSpaceDN/>
        <w:bidi w:val="0"/>
        <w:adjustRightInd/>
        <w:snapToGrid/>
        <w:spacing w:line="560" w:lineRule="exact"/>
        <w:ind w:left="0" w:leftChars="0" w:firstLine="3200" w:firstLineChars="1000"/>
        <w:jc w:val="both"/>
        <w:textAlignment w:val="auto"/>
        <w:rPr>
          <w:rFonts w:hint="eastAsia" w:ascii="仿宋_GB2312" w:hAnsi="仿宋" w:eastAsia="仿宋_GB2312"/>
          <w:sz w:val="32"/>
          <w:szCs w:val="32"/>
          <w:highlight w:val="none"/>
          <w:lang w:val="en-US" w:eastAsia="zh-CN"/>
        </w:rPr>
      </w:pPr>
      <w:r>
        <w:rPr>
          <w:rFonts w:hint="eastAsia" w:ascii="仿宋_GB2312" w:hAnsi="仿宋" w:eastAsia="仿宋_GB2312"/>
          <w:sz w:val="32"/>
          <w:szCs w:val="32"/>
          <w:highlight w:val="none"/>
          <w:lang w:val="en-US" w:eastAsia="zh-CN"/>
        </w:rPr>
        <w:t>陈学斌  奈曼旗畜牧业发展中心主任</w:t>
      </w:r>
    </w:p>
    <w:p w14:paraId="440F45B2">
      <w:pPr>
        <w:keepNext w:val="0"/>
        <w:keepLines w:val="0"/>
        <w:pageBreakBefore w:val="0"/>
        <w:widowControl w:val="0"/>
        <w:kinsoku/>
        <w:wordWrap/>
        <w:overflowPunct/>
        <w:topLinePunct w:val="0"/>
        <w:autoSpaceDE/>
        <w:autoSpaceDN/>
        <w:bidi w:val="0"/>
        <w:adjustRightInd/>
        <w:snapToGrid/>
        <w:spacing w:line="560" w:lineRule="exact"/>
        <w:ind w:left="0" w:leftChars="0" w:firstLine="3200" w:firstLineChars="1000"/>
        <w:jc w:val="both"/>
        <w:textAlignment w:val="auto"/>
        <w:rPr>
          <w:rFonts w:hint="eastAsia" w:ascii="仿宋_GB2312" w:hAnsi="仿宋" w:eastAsia="仿宋_GB2312"/>
          <w:sz w:val="32"/>
          <w:szCs w:val="32"/>
          <w:highlight w:val="none"/>
          <w:lang w:val="en-US" w:eastAsia="zh-CN"/>
        </w:rPr>
      </w:pPr>
      <w:r>
        <w:rPr>
          <w:rFonts w:hint="eastAsia" w:ascii="仿宋_GB2312" w:hAnsi="仿宋" w:eastAsia="仿宋_GB2312"/>
          <w:sz w:val="32"/>
          <w:szCs w:val="32"/>
          <w:highlight w:val="none"/>
          <w:lang w:val="en-US" w:eastAsia="zh-CN"/>
        </w:rPr>
        <w:t>关  奎  奈曼旗农业技术推广中心推广研究员</w:t>
      </w:r>
    </w:p>
    <w:p w14:paraId="3D2E930A">
      <w:pPr>
        <w:keepNext w:val="0"/>
        <w:keepLines w:val="0"/>
        <w:pageBreakBefore w:val="0"/>
        <w:widowControl w:val="0"/>
        <w:kinsoku/>
        <w:wordWrap/>
        <w:overflowPunct/>
        <w:topLinePunct w:val="0"/>
        <w:autoSpaceDE/>
        <w:autoSpaceDN/>
        <w:bidi w:val="0"/>
        <w:adjustRightInd/>
        <w:snapToGrid/>
        <w:spacing w:line="560" w:lineRule="exact"/>
        <w:ind w:left="0" w:leftChars="0" w:firstLine="3200" w:firstLineChars="1000"/>
        <w:jc w:val="both"/>
        <w:textAlignment w:val="auto"/>
        <w:rPr>
          <w:rFonts w:hint="eastAsia" w:ascii="仿宋_GB2312" w:hAnsi="仿宋" w:eastAsia="仿宋_GB2312"/>
          <w:sz w:val="32"/>
          <w:szCs w:val="32"/>
          <w:highlight w:val="none"/>
          <w:lang w:val="en-US" w:eastAsia="zh-CN"/>
        </w:rPr>
      </w:pPr>
      <w:r>
        <w:rPr>
          <w:rFonts w:hint="eastAsia" w:ascii="仿宋_GB2312" w:hAnsi="仿宋" w:eastAsia="仿宋_GB2312"/>
          <w:sz w:val="32"/>
          <w:szCs w:val="32"/>
          <w:highlight w:val="none"/>
          <w:lang w:val="en-US" w:eastAsia="zh-CN"/>
        </w:rPr>
        <w:t>丛向阳  奈曼旗农业技术推广中心高级农艺师</w:t>
      </w:r>
    </w:p>
    <w:p w14:paraId="3D99AC17">
      <w:pPr>
        <w:keepNext w:val="0"/>
        <w:keepLines w:val="0"/>
        <w:pageBreakBefore w:val="0"/>
        <w:widowControl w:val="0"/>
        <w:kinsoku/>
        <w:wordWrap/>
        <w:overflowPunct/>
        <w:topLinePunct w:val="0"/>
        <w:autoSpaceDE/>
        <w:autoSpaceDN/>
        <w:bidi w:val="0"/>
        <w:adjustRightInd/>
        <w:snapToGrid/>
        <w:spacing w:line="560" w:lineRule="exact"/>
        <w:ind w:left="0" w:leftChars="0" w:firstLine="3200" w:firstLineChars="1000"/>
        <w:jc w:val="both"/>
        <w:textAlignment w:val="auto"/>
        <w:rPr>
          <w:rFonts w:hint="eastAsia" w:ascii="仿宋_GB2312" w:hAnsi="仿宋" w:eastAsia="仿宋_GB2312"/>
          <w:sz w:val="32"/>
          <w:szCs w:val="32"/>
          <w:highlight w:val="none"/>
          <w:lang w:val="en-US" w:eastAsia="zh-CN"/>
        </w:rPr>
      </w:pPr>
      <w:r>
        <w:rPr>
          <w:rFonts w:hint="eastAsia" w:ascii="仿宋_GB2312" w:hAnsi="仿宋" w:eastAsia="仿宋_GB2312"/>
          <w:sz w:val="32"/>
          <w:szCs w:val="32"/>
          <w:highlight w:val="none"/>
          <w:lang w:val="en-US" w:eastAsia="zh-CN"/>
        </w:rPr>
        <w:t>孟  和  奈曼旗农牧和科技局畜牧股股长</w:t>
      </w:r>
    </w:p>
    <w:p w14:paraId="1C887577">
      <w:pPr>
        <w:keepNext w:val="0"/>
        <w:keepLines w:val="0"/>
        <w:pageBreakBefore w:val="0"/>
        <w:widowControl w:val="0"/>
        <w:kinsoku/>
        <w:wordWrap/>
        <w:overflowPunct/>
        <w:topLinePunct w:val="0"/>
        <w:autoSpaceDE/>
        <w:autoSpaceDN/>
        <w:bidi w:val="0"/>
        <w:adjustRightInd/>
        <w:snapToGrid/>
        <w:spacing w:line="560" w:lineRule="exact"/>
        <w:ind w:left="0" w:leftChars="0" w:firstLine="3200" w:firstLineChars="1000"/>
        <w:jc w:val="both"/>
        <w:textAlignment w:val="auto"/>
        <w:rPr>
          <w:rFonts w:hint="default" w:ascii="仿宋_GB2312" w:hAnsi="仿宋" w:eastAsia="仿宋_GB2312"/>
          <w:sz w:val="32"/>
          <w:szCs w:val="32"/>
          <w:highlight w:val="none"/>
          <w:lang w:val="en-US" w:eastAsia="zh-CN"/>
        </w:rPr>
      </w:pPr>
      <w:r>
        <w:rPr>
          <w:rFonts w:hint="eastAsia" w:ascii="仿宋_GB2312" w:hAnsi="仿宋" w:eastAsia="仿宋_GB2312"/>
          <w:sz w:val="32"/>
          <w:szCs w:val="32"/>
          <w:highlight w:val="none"/>
          <w:lang w:val="en-US" w:eastAsia="zh-CN"/>
        </w:rPr>
        <w:t>宋晓燕  奈曼旗农牧和科技局农机股股长</w:t>
      </w:r>
    </w:p>
    <w:p w14:paraId="0500B26A">
      <w:pPr>
        <w:keepNext w:val="0"/>
        <w:keepLines w:val="0"/>
        <w:pageBreakBefore w:val="0"/>
        <w:widowControl w:val="0"/>
        <w:kinsoku/>
        <w:wordWrap/>
        <w:overflowPunct/>
        <w:topLinePunct w:val="0"/>
        <w:autoSpaceDE/>
        <w:autoSpaceDN/>
        <w:bidi w:val="0"/>
        <w:adjustRightInd/>
        <w:snapToGrid/>
        <w:spacing w:line="560" w:lineRule="exact"/>
        <w:ind w:left="0" w:leftChars="0" w:firstLine="3200" w:firstLineChars="1000"/>
        <w:jc w:val="both"/>
        <w:textAlignment w:val="auto"/>
        <w:rPr>
          <w:rFonts w:hint="default" w:ascii="仿宋_GB2312" w:hAnsi="仿宋" w:eastAsia="仿宋_GB2312"/>
          <w:sz w:val="32"/>
          <w:szCs w:val="32"/>
          <w:highlight w:val="none"/>
          <w:lang w:val="en-US" w:eastAsia="zh-CN"/>
        </w:rPr>
      </w:pPr>
      <w:r>
        <w:rPr>
          <w:rFonts w:hint="eastAsia" w:ascii="仿宋_GB2312" w:hAnsi="仿宋" w:eastAsia="仿宋_GB2312"/>
          <w:sz w:val="32"/>
          <w:szCs w:val="32"/>
          <w:highlight w:val="none"/>
          <w:lang w:val="en-US" w:eastAsia="zh-CN"/>
        </w:rPr>
        <w:t>周志明  奈曼旗农牧和科技局种植股股长</w:t>
      </w:r>
    </w:p>
    <w:p w14:paraId="6B9DC1FA">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lang w:val="en-US" w:eastAsia="zh-CN"/>
        </w:rPr>
      </w:pPr>
    </w:p>
    <w:p w14:paraId="7047C1D2">
      <w:pPr>
        <w:pStyle w:val="2"/>
        <w:rPr>
          <w:rFonts w:hint="eastAsia"/>
          <w:lang w:val="en-US" w:eastAsia="zh-CN"/>
        </w:rPr>
      </w:pPr>
    </w:p>
    <w:p w14:paraId="550D9592">
      <w:pPr>
        <w:pStyle w:val="2"/>
        <w:rPr>
          <w:rFonts w:hint="eastAsia"/>
          <w:lang w:val="en-US" w:eastAsia="zh-CN"/>
        </w:rPr>
      </w:pPr>
    </w:p>
    <w:p w14:paraId="1A592E50">
      <w:pPr>
        <w:pStyle w:val="2"/>
        <w:rPr>
          <w:rFonts w:hint="eastAsia"/>
          <w:lang w:val="en-US" w:eastAsia="zh-CN"/>
        </w:rPr>
      </w:pPr>
    </w:p>
    <w:p w14:paraId="2490AFE3">
      <w:pPr>
        <w:pStyle w:val="2"/>
        <w:rPr>
          <w:rFonts w:hint="eastAsia"/>
          <w:lang w:val="en-US" w:eastAsia="zh-CN"/>
        </w:rPr>
      </w:pPr>
    </w:p>
    <w:p w14:paraId="610D37AF">
      <w:pPr>
        <w:pStyle w:val="2"/>
        <w:rPr>
          <w:rFonts w:hint="eastAsia"/>
          <w:lang w:val="en-US" w:eastAsia="zh-CN"/>
        </w:rPr>
      </w:pPr>
    </w:p>
    <w:p w14:paraId="712DEED0">
      <w:pPr>
        <w:pStyle w:val="2"/>
        <w:rPr>
          <w:rFonts w:hint="eastAsia"/>
          <w:lang w:val="en-US" w:eastAsia="zh-CN"/>
        </w:rPr>
      </w:pPr>
    </w:p>
    <w:p w14:paraId="4B41D120">
      <w:pPr>
        <w:pStyle w:val="2"/>
        <w:rPr>
          <w:rFonts w:hint="eastAsia"/>
          <w:lang w:val="en-US" w:eastAsia="zh-CN"/>
        </w:rPr>
      </w:pPr>
    </w:p>
    <w:p w14:paraId="12639CF1">
      <w:pPr>
        <w:pStyle w:val="2"/>
        <w:jc w:val="both"/>
        <w:rPr>
          <w:rFonts w:hint="eastAsia" w:ascii="黑体" w:hAnsi="黑体" w:eastAsia="黑体" w:cs="黑体"/>
          <w:b w:val="0"/>
          <w:bCs w:val="0"/>
          <w:lang w:val="en-US" w:eastAsia="zh-CN"/>
        </w:rPr>
      </w:pPr>
      <w:r>
        <w:rPr>
          <w:rFonts w:hint="eastAsia" w:ascii="黑体" w:hAnsi="黑体" w:eastAsia="黑体" w:cs="黑体"/>
          <w:b w:val="0"/>
          <w:bCs w:val="0"/>
          <w:lang w:val="en-US" w:eastAsia="zh-CN"/>
        </w:rPr>
        <w:t>附件3</w:t>
      </w:r>
    </w:p>
    <w:p w14:paraId="5FF62B2D">
      <w:pPr>
        <w:pStyle w:val="2"/>
        <w:jc w:val="both"/>
        <w:rPr>
          <w:rFonts w:hint="default" w:ascii="黑体" w:hAnsi="黑体" w:eastAsia="黑体" w:cs="黑体"/>
          <w:b w:val="0"/>
          <w:bCs w:val="0"/>
          <w:sz w:val="21"/>
          <w:szCs w:val="21"/>
          <w:lang w:val="en-US" w:eastAsia="zh-CN"/>
        </w:rPr>
      </w:pPr>
    </w:p>
    <w:p w14:paraId="18DB50D3">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eastAsia="zh-CN"/>
        </w:rPr>
        <w:t>奈曼旗</w:t>
      </w:r>
      <w:r>
        <w:rPr>
          <w:rFonts w:hint="eastAsia" w:ascii="方正小标宋简体" w:hAnsi="方正小标宋简体" w:eastAsia="方正小标宋简体" w:cs="方正小标宋简体"/>
          <w:b w:val="0"/>
          <w:bCs w:val="0"/>
          <w:sz w:val="44"/>
          <w:szCs w:val="44"/>
          <w:lang w:val="en-US" w:eastAsia="zh-CN"/>
        </w:rPr>
        <w:t>2024年基层农技推广体系改革与建设补助</w:t>
      </w:r>
      <w:r>
        <w:rPr>
          <w:rFonts w:hint="eastAsia" w:ascii="方正小标宋简体" w:hAnsi="方正小标宋简体" w:eastAsia="方正小标宋简体" w:cs="方正小标宋简体"/>
          <w:b w:val="0"/>
          <w:bCs w:val="0"/>
          <w:sz w:val="44"/>
          <w:szCs w:val="44"/>
        </w:rPr>
        <w:t>项目</w:t>
      </w:r>
    </w:p>
    <w:tbl>
      <w:tblPr>
        <w:tblStyle w:val="7"/>
        <w:tblpPr w:leftFromText="180" w:rightFromText="180" w:vertAnchor="text" w:horzAnchor="page" w:tblpX="1809" w:tblpY="1055"/>
        <w:tblOverlap w:val="never"/>
        <w:tblW w:w="86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9"/>
        <w:gridCol w:w="3675"/>
        <w:gridCol w:w="1294"/>
        <w:gridCol w:w="722"/>
        <w:gridCol w:w="975"/>
        <w:gridCol w:w="976"/>
      </w:tblGrid>
      <w:tr w14:paraId="11B90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trPr>
        <w:tc>
          <w:tcPr>
            <w:tcW w:w="1019" w:type="dxa"/>
            <w:noWrap w:val="0"/>
            <w:vAlign w:val="top"/>
          </w:tcPr>
          <w:p w14:paraId="6291E704">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rPr>
            </w:pPr>
          </w:p>
          <w:p w14:paraId="31C755F4">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项目</w:t>
            </w:r>
          </w:p>
          <w:p w14:paraId="4DD3F666">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rPr>
            </w:pPr>
          </w:p>
        </w:tc>
        <w:tc>
          <w:tcPr>
            <w:tcW w:w="3675" w:type="dxa"/>
            <w:noWrap w:val="0"/>
            <w:vAlign w:val="top"/>
          </w:tcPr>
          <w:p w14:paraId="415F5372">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center"/>
              <w:textAlignment w:val="auto"/>
              <w:rPr>
                <w:rFonts w:hint="eastAsia" w:ascii="仿宋_GB2312" w:hAnsi="仿宋_GB2312" w:eastAsia="仿宋_GB2312" w:cs="仿宋_GB2312"/>
                <w:sz w:val="21"/>
                <w:szCs w:val="21"/>
              </w:rPr>
            </w:pPr>
          </w:p>
          <w:p w14:paraId="6B3CB74A">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lang w:eastAsia="zh-CN"/>
              </w:rPr>
            </w:pPr>
            <w:r>
              <w:rPr>
                <w:rFonts w:hint="eastAsia" w:ascii="仿宋_GB2312" w:hAnsi="仿宋_GB2312" w:eastAsia="仿宋_GB2312" w:cs="仿宋_GB2312"/>
                <w:sz w:val="21"/>
                <w:szCs w:val="21"/>
                <w:lang w:eastAsia="zh-CN"/>
              </w:rPr>
              <w:t>内</w:t>
            </w:r>
            <w:r>
              <w:rPr>
                <w:rFonts w:hint="eastAsia" w:ascii="仿宋_GB2312" w:hAnsi="仿宋_GB2312" w:eastAsia="仿宋_GB2312" w:cs="仿宋_GB2312"/>
                <w:sz w:val="21"/>
                <w:szCs w:val="21"/>
                <w:lang w:val="en-US" w:eastAsia="zh-CN"/>
              </w:rPr>
              <w:t xml:space="preserve"> </w:t>
            </w:r>
            <w:r>
              <w:rPr>
                <w:rFonts w:hint="eastAsia" w:ascii="仿宋_GB2312" w:hAnsi="仿宋_GB2312" w:eastAsia="仿宋_GB2312" w:cs="仿宋_GB2312"/>
                <w:sz w:val="21"/>
                <w:szCs w:val="21"/>
                <w:lang w:eastAsia="zh-CN"/>
              </w:rPr>
              <w:t>容</w:t>
            </w:r>
          </w:p>
        </w:tc>
        <w:tc>
          <w:tcPr>
            <w:tcW w:w="1294" w:type="dxa"/>
            <w:noWrap w:val="0"/>
            <w:vAlign w:val="top"/>
          </w:tcPr>
          <w:p w14:paraId="576BE19F">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center"/>
              <w:textAlignment w:val="auto"/>
              <w:rPr>
                <w:rFonts w:hint="eastAsia" w:ascii="仿宋_GB2312" w:hAnsi="仿宋_GB2312" w:eastAsia="仿宋_GB2312" w:cs="仿宋_GB2312"/>
                <w:sz w:val="21"/>
                <w:szCs w:val="21"/>
              </w:rPr>
            </w:pPr>
          </w:p>
          <w:p w14:paraId="5315F92A">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lang w:eastAsia="zh-CN"/>
              </w:rPr>
            </w:pPr>
            <w:r>
              <w:rPr>
                <w:rFonts w:hint="eastAsia" w:ascii="仿宋_GB2312" w:hAnsi="仿宋_GB2312" w:eastAsia="仿宋_GB2312" w:cs="仿宋_GB2312"/>
                <w:sz w:val="21"/>
                <w:szCs w:val="21"/>
                <w:lang w:eastAsia="zh-CN"/>
              </w:rPr>
              <w:t>单价</w:t>
            </w:r>
          </w:p>
          <w:p w14:paraId="30255D87">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rPr>
            </w:pPr>
          </w:p>
        </w:tc>
        <w:tc>
          <w:tcPr>
            <w:tcW w:w="722" w:type="dxa"/>
            <w:noWrap w:val="0"/>
            <w:vAlign w:val="center"/>
          </w:tcPr>
          <w:p w14:paraId="0EFABCE0">
            <w:pPr>
              <w:keepNext w:val="0"/>
              <w:keepLines w:val="0"/>
              <w:pageBreakBefore w:val="0"/>
              <w:widowControl w:val="0"/>
              <w:kinsoku/>
              <w:wordWrap/>
              <w:overflowPunct/>
              <w:topLinePunct w:val="0"/>
              <w:autoSpaceDE/>
              <w:autoSpaceDN/>
              <w:bidi w:val="0"/>
              <w:adjustRightInd/>
              <w:snapToGrid/>
              <w:spacing w:line="420" w:lineRule="exact"/>
              <w:jc w:val="both"/>
              <w:textAlignment w:val="auto"/>
              <w:rPr>
                <w:rFonts w:hint="eastAsia" w:ascii="仿宋_GB2312" w:hAnsi="仿宋_GB2312" w:eastAsia="仿宋_GB2312" w:cs="仿宋_GB2312"/>
                <w:sz w:val="21"/>
                <w:szCs w:val="21"/>
                <w:lang w:eastAsia="zh-CN"/>
              </w:rPr>
            </w:pPr>
            <w:r>
              <w:rPr>
                <w:rFonts w:hint="eastAsia" w:ascii="仿宋_GB2312" w:hAnsi="仿宋_GB2312" w:eastAsia="仿宋_GB2312" w:cs="仿宋_GB2312"/>
                <w:sz w:val="21"/>
                <w:szCs w:val="21"/>
                <w:lang w:eastAsia="zh-CN"/>
              </w:rPr>
              <w:t>数量</w:t>
            </w:r>
          </w:p>
        </w:tc>
        <w:tc>
          <w:tcPr>
            <w:tcW w:w="975" w:type="dxa"/>
            <w:noWrap w:val="0"/>
            <w:vAlign w:val="center"/>
          </w:tcPr>
          <w:p w14:paraId="63E4AA18">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both"/>
              <w:textAlignment w:val="auto"/>
              <w:rPr>
                <w:rFonts w:hint="eastAsia" w:ascii="仿宋_GB2312" w:hAnsi="仿宋_GB2312" w:eastAsia="仿宋_GB2312" w:cs="仿宋_GB2312"/>
                <w:sz w:val="21"/>
                <w:szCs w:val="21"/>
                <w:lang w:eastAsia="zh-CN"/>
              </w:rPr>
            </w:pPr>
            <w:r>
              <w:rPr>
                <w:rFonts w:hint="eastAsia" w:ascii="仿宋_GB2312" w:hAnsi="仿宋_GB2312" w:eastAsia="仿宋_GB2312" w:cs="仿宋_GB2312"/>
                <w:sz w:val="21"/>
                <w:szCs w:val="21"/>
                <w:lang w:eastAsia="zh-CN"/>
              </w:rPr>
              <w:t>投入（万元）</w:t>
            </w:r>
          </w:p>
        </w:tc>
        <w:tc>
          <w:tcPr>
            <w:tcW w:w="976" w:type="dxa"/>
            <w:noWrap w:val="0"/>
            <w:vAlign w:val="center"/>
          </w:tcPr>
          <w:p w14:paraId="45E4DC5F">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both"/>
              <w:textAlignment w:val="auto"/>
              <w:rPr>
                <w:rFonts w:hint="eastAsia" w:ascii="仿宋_GB2312" w:hAnsi="仿宋_GB2312" w:eastAsia="仿宋_GB2312" w:cs="仿宋_GB2312"/>
                <w:sz w:val="21"/>
                <w:szCs w:val="21"/>
                <w:lang w:eastAsia="zh-CN"/>
              </w:rPr>
            </w:pPr>
            <w:r>
              <w:rPr>
                <w:rFonts w:hint="eastAsia" w:ascii="仿宋_GB2312" w:hAnsi="仿宋_GB2312" w:eastAsia="仿宋_GB2312" w:cs="仿宋_GB2312"/>
                <w:sz w:val="21"/>
                <w:szCs w:val="21"/>
                <w:lang w:eastAsia="zh-CN"/>
              </w:rPr>
              <w:t>小计（万元）</w:t>
            </w:r>
          </w:p>
        </w:tc>
      </w:tr>
      <w:tr w14:paraId="05B72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1019" w:type="dxa"/>
            <w:vMerge w:val="restart"/>
            <w:noWrap w:val="0"/>
            <w:vAlign w:val="center"/>
          </w:tcPr>
          <w:p w14:paraId="24EF977A">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1、农业技术推广服务补助</w:t>
            </w:r>
          </w:p>
        </w:tc>
        <w:tc>
          <w:tcPr>
            <w:tcW w:w="3675" w:type="dxa"/>
            <w:noWrap w:val="0"/>
            <w:vAlign w:val="center"/>
          </w:tcPr>
          <w:p w14:paraId="047C3DFA">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rPr>
              <w:t>农技人员和专家进村入户开展技术指导服务、交通费、差旅费等费用补助。</w:t>
            </w:r>
          </w:p>
        </w:tc>
        <w:tc>
          <w:tcPr>
            <w:tcW w:w="1294" w:type="dxa"/>
            <w:noWrap w:val="0"/>
            <w:vAlign w:val="center"/>
          </w:tcPr>
          <w:p w14:paraId="2C1401F6">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p>
        </w:tc>
        <w:tc>
          <w:tcPr>
            <w:tcW w:w="722" w:type="dxa"/>
            <w:noWrap w:val="0"/>
            <w:vAlign w:val="center"/>
          </w:tcPr>
          <w:p w14:paraId="0AEC6FBB">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rPr>
            </w:pPr>
          </w:p>
        </w:tc>
        <w:tc>
          <w:tcPr>
            <w:tcW w:w="975" w:type="dxa"/>
            <w:noWrap w:val="0"/>
            <w:vAlign w:val="center"/>
          </w:tcPr>
          <w:p w14:paraId="2D36F502">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10</w:t>
            </w:r>
          </w:p>
        </w:tc>
        <w:tc>
          <w:tcPr>
            <w:tcW w:w="976" w:type="dxa"/>
            <w:vMerge w:val="restart"/>
            <w:noWrap w:val="0"/>
            <w:vAlign w:val="center"/>
          </w:tcPr>
          <w:p w14:paraId="5AA4A294">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34</w:t>
            </w:r>
          </w:p>
        </w:tc>
      </w:tr>
      <w:tr w14:paraId="608D8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1019" w:type="dxa"/>
            <w:vMerge w:val="continue"/>
            <w:noWrap w:val="0"/>
            <w:vAlign w:val="center"/>
          </w:tcPr>
          <w:p w14:paraId="727F6EC9">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center"/>
              <w:textAlignment w:val="auto"/>
            </w:pPr>
          </w:p>
        </w:tc>
        <w:tc>
          <w:tcPr>
            <w:tcW w:w="3675" w:type="dxa"/>
            <w:noWrap w:val="0"/>
            <w:vAlign w:val="center"/>
          </w:tcPr>
          <w:p w14:paraId="1E6D55FF">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center"/>
              <w:textAlignment w:val="auto"/>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eastAsia="zh-CN"/>
              </w:rPr>
              <w:t>特聘计划费</w:t>
            </w:r>
          </w:p>
        </w:tc>
        <w:tc>
          <w:tcPr>
            <w:tcW w:w="1294" w:type="dxa"/>
            <w:noWrap w:val="0"/>
            <w:vAlign w:val="center"/>
          </w:tcPr>
          <w:p w14:paraId="46AF5FEE">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8000元/人</w:t>
            </w:r>
          </w:p>
        </w:tc>
        <w:tc>
          <w:tcPr>
            <w:tcW w:w="722" w:type="dxa"/>
            <w:noWrap w:val="0"/>
            <w:vAlign w:val="center"/>
          </w:tcPr>
          <w:p w14:paraId="6A2D975C">
            <w:pPr>
              <w:keepNext w:val="0"/>
              <w:keepLines w:val="0"/>
              <w:pageBreakBefore w:val="0"/>
              <w:widowControl w:val="0"/>
              <w:kinsoku/>
              <w:wordWrap/>
              <w:overflowPunct/>
              <w:topLinePunct w:val="0"/>
              <w:autoSpaceDE/>
              <w:autoSpaceDN/>
              <w:bidi w:val="0"/>
              <w:adjustRightInd/>
              <w:snapToGrid/>
              <w:spacing w:line="420" w:lineRule="exact"/>
              <w:jc w:val="both"/>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15人</w:t>
            </w:r>
          </w:p>
        </w:tc>
        <w:tc>
          <w:tcPr>
            <w:tcW w:w="975" w:type="dxa"/>
            <w:noWrap w:val="0"/>
            <w:vAlign w:val="center"/>
          </w:tcPr>
          <w:p w14:paraId="2D947DC0">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12</w:t>
            </w:r>
          </w:p>
        </w:tc>
        <w:tc>
          <w:tcPr>
            <w:tcW w:w="976" w:type="dxa"/>
            <w:vMerge w:val="continue"/>
            <w:noWrap w:val="0"/>
            <w:vAlign w:val="center"/>
          </w:tcPr>
          <w:p w14:paraId="2B7AF6E6">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center"/>
              <w:textAlignment w:val="auto"/>
              <w:rPr>
                <w:rFonts w:hint="eastAsia" w:ascii="仿宋_GB2312" w:hAnsi="仿宋_GB2312" w:eastAsia="仿宋_GB2312" w:cs="仿宋_GB2312"/>
                <w:sz w:val="21"/>
                <w:szCs w:val="21"/>
                <w:lang w:val="en-US" w:eastAsia="zh-CN"/>
              </w:rPr>
            </w:pPr>
          </w:p>
        </w:tc>
      </w:tr>
      <w:tr w14:paraId="71D2B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1019" w:type="dxa"/>
            <w:vMerge w:val="continue"/>
            <w:noWrap w:val="0"/>
            <w:vAlign w:val="center"/>
          </w:tcPr>
          <w:p w14:paraId="1E19BD39">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center"/>
              <w:textAlignment w:val="auto"/>
              <w:rPr>
                <w:rFonts w:hint="eastAsia" w:ascii="仿宋_GB2312" w:hAnsi="仿宋_GB2312" w:eastAsia="仿宋_GB2312" w:cs="仿宋_GB2312"/>
                <w:sz w:val="21"/>
                <w:szCs w:val="21"/>
                <w:lang w:val="en-US" w:eastAsia="zh-CN"/>
              </w:rPr>
            </w:pPr>
          </w:p>
        </w:tc>
        <w:tc>
          <w:tcPr>
            <w:tcW w:w="3675" w:type="dxa"/>
            <w:noWrap w:val="0"/>
            <w:vAlign w:val="center"/>
          </w:tcPr>
          <w:p w14:paraId="4946A277">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center"/>
              <w:textAlignment w:val="auto"/>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rPr>
              <w:t>聘请专家费</w:t>
            </w:r>
          </w:p>
        </w:tc>
        <w:tc>
          <w:tcPr>
            <w:tcW w:w="1294" w:type="dxa"/>
            <w:noWrap w:val="0"/>
            <w:vAlign w:val="center"/>
          </w:tcPr>
          <w:p w14:paraId="7DE75EE8">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center"/>
              <w:textAlignment w:val="auto"/>
              <w:rPr>
                <w:rFonts w:hint="eastAsia" w:ascii="仿宋_GB2312" w:hAnsi="仿宋_GB2312" w:eastAsia="仿宋_GB2312" w:cs="仿宋_GB2312"/>
                <w:sz w:val="21"/>
                <w:szCs w:val="21"/>
                <w:lang w:val="en-US" w:eastAsia="zh-CN"/>
              </w:rPr>
            </w:pPr>
          </w:p>
        </w:tc>
        <w:tc>
          <w:tcPr>
            <w:tcW w:w="722" w:type="dxa"/>
            <w:noWrap w:val="0"/>
            <w:vAlign w:val="center"/>
          </w:tcPr>
          <w:p w14:paraId="6F74E198">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center"/>
              <w:textAlignment w:val="auto"/>
              <w:rPr>
                <w:rFonts w:hint="eastAsia" w:ascii="仿宋_GB2312" w:hAnsi="仿宋_GB2312" w:eastAsia="仿宋_GB2312" w:cs="仿宋_GB2312"/>
                <w:sz w:val="21"/>
                <w:szCs w:val="21"/>
                <w:lang w:val="en-US" w:eastAsia="zh-CN"/>
              </w:rPr>
            </w:pPr>
          </w:p>
        </w:tc>
        <w:tc>
          <w:tcPr>
            <w:tcW w:w="975" w:type="dxa"/>
            <w:noWrap w:val="0"/>
            <w:vAlign w:val="center"/>
          </w:tcPr>
          <w:p w14:paraId="6D257785">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7</w:t>
            </w:r>
          </w:p>
        </w:tc>
        <w:tc>
          <w:tcPr>
            <w:tcW w:w="976" w:type="dxa"/>
            <w:vMerge w:val="continue"/>
            <w:noWrap w:val="0"/>
            <w:vAlign w:val="center"/>
          </w:tcPr>
          <w:p w14:paraId="77F4FD10">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center"/>
              <w:textAlignment w:val="auto"/>
              <w:rPr>
                <w:rFonts w:hint="eastAsia" w:ascii="仿宋_GB2312" w:hAnsi="仿宋_GB2312" w:eastAsia="仿宋_GB2312" w:cs="仿宋_GB2312"/>
                <w:sz w:val="21"/>
                <w:szCs w:val="21"/>
                <w:lang w:val="en-US" w:eastAsia="zh-CN"/>
              </w:rPr>
            </w:pPr>
          </w:p>
        </w:tc>
      </w:tr>
      <w:tr w14:paraId="01618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019" w:type="dxa"/>
            <w:vMerge w:val="continue"/>
            <w:noWrap w:val="0"/>
            <w:vAlign w:val="center"/>
          </w:tcPr>
          <w:p w14:paraId="58202A65">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center"/>
              <w:textAlignment w:val="auto"/>
              <w:rPr>
                <w:rFonts w:hint="eastAsia" w:ascii="仿宋_GB2312" w:hAnsi="仿宋_GB2312" w:eastAsia="仿宋_GB2312" w:cs="仿宋_GB2312"/>
                <w:sz w:val="21"/>
                <w:szCs w:val="21"/>
                <w:lang w:val="en-US" w:eastAsia="zh-CN"/>
              </w:rPr>
            </w:pPr>
          </w:p>
        </w:tc>
        <w:tc>
          <w:tcPr>
            <w:tcW w:w="3675" w:type="dxa"/>
            <w:noWrap w:val="0"/>
            <w:vAlign w:val="center"/>
          </w:tcPr>
          <w:p w14:paraId="0FC19373">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rPr>
              <w:t>资料印刷、制度建设及工作考评等管理费</w:t>
            </w:r>
          </w:p>
        </w:tc>
        <w:tc>
          <w:tcPr>
            <w:tcW w:w="1294" w:type="dxa"/>
            <w:noWrap w:val="0"/>
            <w:vAlign w:val="center"/>
          </w:tcPr>
          <w:p w14:paraId="4202FD91">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center"/>
              <w:textAlignment w:val="auto"/>
              <w:rPr>
                <w:rFonts w:hint="eastAsia" w:ascii="仿宋_GB2312" w:hAnsi="仿宋_GB2312" w:eastAsia="仿宋_GB2312" w:cs="仿宋_GB2312"/>
                <w:sz w:val="21"/>
                <w:szCs w:val="21"/>
                <w:lang w:val="en-US" w:eastAsia="zh-CN"/>
              </w:rPr>
            </w:pPr>
          </w:p>
        </w:tc>
        <w:tc>
          <w:tcPr>
            <w:tcW w:w="722" w:type="dxa"/>
            <w:noWrap w:val="0"/>
            <w:vAlign w:val="center"/>
          </w:tcPr>
          <w:p w14:paraId="59F6B9E1">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center"/>
              <w:textAlignment w:val="auto"/>
              <w:rPr>
                <w:rFonts w:hint="eastAsia" w:ascii="仿宋_GB2312" w:hAnsi="仿宋_GB2312" w:eastAsia="仿宋_GB2312" w:cs="仿宋_GB2312"/>
                <w:sz w:val="21"/>
                <w:szCs w:val="21"/>
                <w:lang w:val="en-US" w:eastAsia="zh-CN"/>
              </w:rPr>
            </w:pPr>
          </w:p>
        </w:tc>
        <w:tc>
          <w:tcPr>
            <w:tcW w:w="975" w:type="dxa"/>
            <w:noWrap w:val="0"/>
            <w:vAlign w:val="center"/>
          </w:tcPr>
          <w:p w14:paraId="3931DBA5">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5</w:t>
            </w:r>
          </w:p>
        </w:tc>
        <w:tc>
          <w:tcPr>
            <w:tcW w:w="976" w:type="dxa"/>
            <w:vMerge w:val="continue"/>
            <w:noWrap w:val="0"/>
            <w:vAlign w:val="center"/>
          </w:tcPr>
          <w:p w14:paraId="3758A16E">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center"/>
              <w:textAlignment w:val="auto"/>
              <w:rPr>
                <w:rFonts w:hint="eastAsia" w:ascii="仿宋_GB2312" w:hAnsi="仿宋_GB2312" w:eastAsia="仿宋_GB2312" w:cs="仿宋_GB2312"/>
                <w:sz w:val="21"/>
                <w:szCs w:val="21"/>
                <w:lang w:val="en-US" w:eastAsia="zh-CN"/>
              </w:rPr>
            </w:pPr>
          </w:p>
        </w:tc>
      </w:tr>
      <w:tr w14:paraId="62E73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atLeast"/>
        </w:trPr>
        <w:tc>
          <w:tcPr>
            <w:tcW w:w="1019" w:type="dxa"/>
            <w:vMerge w:val="restart"/>
            <w:noWrap w:val="0"/>
            <w:vAlign w:val="center"/>
          </w:tcPr>
          <w:p w14:paraId="60E40773">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2、农业科技示范补助</w:t>
            </w:r>
          </w:p>
        </w:tc>
        <w:tc>
          <w:tcPr>
            <w:tcW w:w="3675" w:type="dxa"/>
            <w:noWrap w:val="0"/>
            <w:vAlign w:val="center"/>
          </w:tcPr>
          <w:p w14:paraId="49AAB4A4">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center"/>
              <w:textAlignment w:val="auto"/>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highlight w:val="none"/>
                <w:lang w:val="en-US" w:eastAsia="zh-CN"/>
              </w:rPr>
              <w:t>科技展示场所</w:t>
            </w:r>
            <w:r>
              <w:rPr>
                <w:rFonts w:hint="eastAsia" w:ascii="仿宋_GB2312" w:hAnsi="仿宋_GB2312" w:eastAsia="仿宋_GB2312" w:cs="仿宋_GB2312"/>
                <w:sz w:val="21"/>
                <w:szCs w:val="21"/>
                <w:lang w:val="en-US" w:eastAsia="zh-CN"/>
              </w:rPr>
              <w:t>建设</w:t>
            </w:r>
          </w:p>
        </w:tc>
        <w:tc>
          <w:tcPr>
            <w:tcW w:w="1294" w:type="dxa"/>
            <w:noWrap w:val="0"/>
            <w:vAlign w:val="center"/>
          </w:tcPr>
          <w:p w14:paraId="404B01BD">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lang w:val="en-US" w:eastAsia="zh-CN"/>
              </w:rPr>
            </w:pPr>
          </w:p>
        </w:tc>
        <w:tc>
          <w:tcPr>
            <w:tcW w:w="722" w:type="dxa"/>
            <w:noWrap w:val="0"/>
            <w:vAlign w:val="center"/>
          </w:tcPr>
          <w:p w14:paraId="31C23314">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14个</w:t>
            </w:r>
          </w:p>
        </w:tc>
        <w:tc>
          <w:tcPr>
            <w:tcW w:w="975" w:type="dxa"/>
            <w:noWrap w:val="0"/>
            <w:vAlign w:val="center"/>
          </w:tcPr>
          <w:p w14:paraId="039D12FA">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70</w:t>
            </w:r>
          </w:p>
        </w:tc>
        <w:tc>
          <w:tcPr>
            <w:tcW w:w="976" w:type="dxa"/>
            <w:vMerge w:val="restart"/>
            <w:noWrap w:val="0"/>
            <w:vAlign w:val="center"/>
          </w:tcPr>
          <w:p w14:paraId="6C627BA1">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81</w:t>
            </w:r>
          </w:p>
        </w:tc>
      </w:tr>
      <w:tr w14:paraId="7685E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trPr>
        <w:tc>
          <w:tcPr>
            <w:tcW w:w="1019" w:type="dxa"/>
            <w:vMerge w:val="continue"/>
            <w:noWrap w:val="0"/>
            <w:vAlign w:val="center"/>
          </w:tcPr>
          <w:p w14:paraId="461F57F2">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center"/>
              <w:textAlignment w:val="auto"/>
            </w:pPr>
          </w:p>
        </w:tc>
        <w:tc>
          <w:tcPr>
            <w:tcW w:w="3675" w:type="dxa"/>
            <w:noWrap w:val="0"/>
            <w:vAlign w:val="center"/>
          </w:tcPr>
          <w:p w14:paraId="1C35605F">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center"/>
              <w:textAlignment w:val="auto"/>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highlight w:val="none"/>
              </w:rPr>
              <w:t>科技</w:t>
            </w:r>
            <w:r>
              <w:rPr>
                <w:rFonts w:hint="eastAsia" w:ascii="仿宋_GB2312" w:hAnsi="仿宋_GB2312" w:eastAsia="仿宋_GB2312" w:cs="仿宋_GB2312"/>
                <w:sz w:val="21"/>
                <w:szCs w:val="21"/>
                <w:highlight w:val="none"/>
                <w:lang w:val="en-US" w:eastAsia="zh-CN"/>
              </w:rPr>
              <w:t>展示</w:t>
            </w:r>
            <w:r>
              <w:rPr>
                <w:rFonts w:hint="eastAsia" w:ascii="仿宋_GB2312" w:hAnsi="仿宋_GB2312" w:eastAsia="仿宋_GB2312" w:cs="仿宋_GB2312"/>
                <w:sz w:val="21"/>
                <w:szCs w:val="21"/>
                <w:highlight w:val="none"/>
              </w:rPr>
              <w:t>主体</w:t>
            </w:r>
            <w:r>
              <w:rPr>
                <w:rFonts w:hint="eastAsia" w:ascii="仿宋_GB2312" w:hAnsi="仿宋_GB2312" w:eastAsia="仿宋_GB2312" w:cs="仿宋_GB2312"/>
                <w:sz w:val="21"/>
                <w:szCs w:val="21"/>
              </w:rPr>
              <w:t>补助</w:t>
            </w:r>
          </w:p>
        </w:tc>
        <w:tc>
          <w:tcPr>
            <w:tcW w:w="1294" w:type="dxa"/>
            <w:noWrap w:val="0"/>
            <w:vAlign w:val="center"/>
          </w:tcPr>
          <w:p w14:paraId="375A9F52">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center"/>
              <w:textAlignment w:val="auto"/>
              <w:rPr>
                <w:rFonts w:hint="eastAsia" w:ascii="仿宋_GB2312" w:hAnsi="仿宋_GB2312" w:eastAsia="仿宋_GB2312" w:cs="仿宋_GB2312"/>
                <w:sz w:val="21"/>
                <w:szCs w:val="21"/>
                <w:lang w:val="en-US" w:eastAsia="zh-CN"/>
              </w:rPr>
            </w:pPr>
          </w:p>
        </w:tc>
        <w:tc>
          <w:tcPr>
            <w:tcW w:w="722" w:type="dxa"/>
            <w:noWrap w:val="0"/>
            <w:vAlign w:val="center"/>
          </w:tcPr>
          <w:p w14:paraId="68F8C9C7">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highlight w:val="none"/>
                <w:lang w:val="en-US" w:eastAsia="zh-CN"/>
              </w:rPr>
              <w:t>200个</w:t>
            </w:r>
          </w:p>
        </w:tc>
        <w:tc>
          <w:tcPr>
            <w:tcW w:w="975" w:type="dxa"/>
            <w:noWrap w:val="0"/>
            <w:vAlign w:val="center"/>
          </w:tcPr>
          <w:p w14:paraId="03672C91">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8</w:t>
            </w:r>
          </w:p>
        </w:tc>
        <w:tc>
          <w:tcPr>
            <w:tcW w:w="976" w:type="dxa"/>
            <w:vMerge w:val="continue"/>
            <w:noWrap w:val="0"/>
            <w:vAlign w:val="center"/>
          </w:tcPr>
          <w:p w14:paraId="7490A98C">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仿宋_GB2312" w:hAnsi="仿宋_GB2312" w:eastAsia="仿宋_GB2312" w:cs="仿宋_GB2312"/>
                <w:sz w:val="21"/>
                <w:szCs w:val="21"/>
                <w:lang w:val="en-US" w:eastAsia="zh-CN"/>
              </w:rPr>
            </w:pPr>
          </w:p>
        </w:tc>
      </w:tr>
      <w:tr w14:paraId="62F1B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6" w:hRule="atLeast"/>
        </w:trPr>
        <w:tc>
          <w:tcPr>
            <w:tcW w:w="1019" w:type="dxa"/>
            <w:vMerge w:val="continue"/>
            <w:noWrap w:val="0"/>
            <w:vAlign w:val="center"/>
          </w:tcPr>
          <w:p w14:paraId="3065DC1F">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center"/>
              <w:textAlignment w:val="auto"/>
              <w:rPr>
                <w:rFonts w:hint="eastAsia" w:ascii="仿宋_GB2312" w:hAnsi="仿宋_GB2312" w:eastAsia="仿宋_GB2312" w:cs="仿宋_GB2312"/>
                <w:sz w:val="21"/>
                <w:szCs w:val="21"/>
                <w:lang w:val="en-US" w:eastAsia="zh-CN"/>
              </w:rPr>
            </w:pPr>
          </w:p>
        </w:tc>
        <w:tc>
          <w:tcPr>
            <w:tcW w:w="3675" w:type="dxa"/>
            <w:noWrap w:val="0"/>
            <w:vAlign w:val="center"/>
          </w:tcPr>
          <w:p w14:paraId="0C814740">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center"/>
              <w:textAlignment w:val="auto"/>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rPr>
              <w:t>农技人员</w:t>
            </w:r>
            <w:r>
              <w:rPr>
                <w:rFonts w:hint="eastAsia" w:ascii="仿宋_GB2312" w:hAnsi="仿宋_GB2312" w:eastAsia="仿宋_GB2312" w:cs="仿宋_GB2312"/>
                <w:sz w:val="21"/>
                <w:szCs w:val="21"/>
                <w:lang w:val="en-US" w:eastAsia="zh-CN"/>
              </w:rPr>
              <w:t>APP使用</w:t>
            </w:r>
            <w:r>
              <w:rPr>
                <w:rFonts w:hint="eastAsia" w:ascii="仿宋_GB2312" w:hAnsi="仿宋_GB2312" w:eastAsia="仿宋_GB2312" w:cs="仿宋_GB2312"/>
                <w:sz w:val="21"/>
                <w:szCs w:val="21"/>
              </w:rPr>
              <w:t>费</w:t>
            </w:r>
          </w:p>
        </w:tc>
        <w:tc>
          <w:tcPr>
            <w:tcW w:w="1294" w:type="dxa"/>
            <w:noWrap w:val="0"/>
            <w:vAlign w:val="center"/>
          </w:tcPr>
          <w:p w14:paraId="70B9A897">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600元/人</w:t>
            </w:r>
          </w:p>
        </w:tc>
        <w:tc>
          <w:tcPr>
            <w:tcW w:w="722" w:type="dxa"/>
            <w:noWrap w:val="0"/>
            <w:vAlign w:val="center"/>
          </w:tcPr>
          <w:p w14:paraId="1332DB0F">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50人</w:t>
            </w:r>
          </w:p>
        </w:tc>
        <w:tc>
          <w:tcPr>
            <w:tcW w:w="975" w:type="dxa"/>
            <w:noWrap w:val="0"/>
            <w:vAlign w:val="center"/>
          </w:tcPr>
          <w:p w14:paraId="260287DF">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3</w:t>
            </w:r>
          </w:p>
        </w:tc>
        <w:tc>
          <w:tcPr>
            <w:tcW w:w="976" w:type="dxa"/>
            <w:vMerge w:val="continue"/>
            <w:noWrap w:val="0"/>
            <w:vAlign w:val="center"/>
          </w:tcPr>
          <w:p w14:paraId="208EB995">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both"/>
              <w:textAlignment w:val="auto"/>
              <w:rPr>
                <w:rFonts w:hint="eastAsia" w:ascii="仿宋_GB2312" w:hAnsi="仿宋_GB2312" w:eastAsia="仿宋_GB2312" w:cs="仿宋_GB2312"/>
                <w:sz w:val="21"/>
                <w:szCs w:val="21"/>
                <w:lang w:val="en-US" w:eastAsia="zh-CN"/>
              </w:rPr>
            </w:pPr>
          </w:p>
        </w:tc>
      </w:tr>
      <w:tr w14:paraId="5C205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trPr>
        <w:tc>
          <w:tcPr>
            <w:tcW w:w="1019" w:type="dxa"/>
            <w:noWrap w:val="0"/>
            <w:vAlign w:val="center"/>
          </w:tcPr>
          <w:p w14:paraId="4CF04AC1">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3、农业技术人员能力建设补助</w:t>
            </w:r>
          </w:p>
        </w:tc>
        <w:tc>
          <w:tcPr>
            <w:tcW w:w="3675" w:type="dxa"/>
            <w:noWrap w:val="0"/>
            <w:vAlign w:val="center"/>
          </w:tcPr>
          <w:p w14:paraId="60E685A4">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①专家异地研修和培训费。</w:t>
            </w:r>
          </w:p>
          <w:p w14:paraId="5FDF239F">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②农技人员各级培训和实地观摩交流。</w:t>
            </w:r>
          </w:p>
          <w:p w14:paraId="50C1472A">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③科技示范主体培训和组织观摩等费用。</w:t>
            </w:r>
          </w:p>
          <w:p w14:paraId="49B07523">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rPr>
              <w:t>④农牧技术、农牧业师资培训等费用。</w:t>
            </w:r>
          </w:p>
        </w:tc>
        <w:tc>
          <w:tcPr>
            <w:tcW w:w="1294" w:type="dxa"/>
            <w:noWrap w:val="0"/>
            <w:vAlign w:val="center"/>
          </w:tcPr>
          <w:p w14:paraId="7905D702">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lang w:val="en-US" w:eastAsia="zh-CN"/>
              </w:rPr>
            </w:pPr>
          </w:p>
        </w:tc>
        <w:tc>
          <w:tcPr>
            <w:tcW w:w="722" w:type="dxa"/>
            <w:noWrap w:val="0"/>
            <w:vAlign w:val="center"/>
          </w:tcPr>
          <w:p w14:paraId="2E574A2D">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_GB2312" w:hAnsi="仿宋_GB2312" w:eastAsia="仿宋_GB2312" w:cs="仿宋_GB2312"/>
                <w:sz w:val="21"/>
                <w:szCs w:val="21"/>
              </w:rPr>
            </w:pPr>
          </w:p>
        </w:tc>
        <w:tc>
          <w:tcPr>
            <w:tcW w:w="975" w:type="dxa"/>
            <w:noWrap w:val="0"/>
            <w:vAlign w:val="center"/>
          </w:tcPr>
          <w:p w14:paraId="7DF7B9F2">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18</w:t>
            </w:r>
          </w:p>
        </w:tc>
        <w:tc>
          <w:tcPr>
            <w:tcW w:w="976" w:type="dxa"/>
            <w:noWrap w:val="0"/>
            <w:vAlign w:val="center"/>
          </w:tcPr>
          <w:p w14:paraId="116E78A6">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18</w:t>
            </w:r>
          </w:p>
        </w:tc>
      </w:tr>
      <w:tr w14:paraId="10708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3" w:hRule="atLeast"/>
        </w:trPr>
        <w:tc>
          <w:tcPr>
            <w:tcW w:w="7685" w:type="dxa"/>
            <w:gridSpan w:val="5"/>
            <w:tcBorders>
              <w:bottom w:val="single" w:color="auto" w:sz="4" w:space="0"/>
            </w:tcBorders>
            <w:noWrap w:val="0"/>
            <w:vAlign w:val="center"/>
          </w:tcPr>
          <w:p w14:paraId="112B388D">
            <w:pPr>
              <w:keepNext w:val="0"/>
              <w:keepLines w:val="0"/>
              <w:pageBreakBefore w:val="0"/>
              <w:widowControl w:val="0"/>
              <w:kinsoku/>
              <w:wordWrap/>
              <w:overflowPunct/>
              <w:topLinePunct w:val="0"/>
              <w:autoSpaceDE/>
              <w:autoSpaceDN/>
              <w:bidi w:val="0"/>
              <w:adjustRightInd/>
              <w:snapToGrid/>
              <w:spacing w:line="420" w:lineRule="exact"/>
              <w:ind w:firstLine="420" w:firstLineChars="200"/>
              <w:jc w:val="center"/>
              <w:textAlignment w:val="auto"/>
              <w:rPr>
                <w:rFonts w:hint="eastAsia" w:ascii="仿宋_GB2312" w:hAnsi="仿宋_GB2312" w:eastAsia="仿宋_GB2312" w:cs="仿宋_GB2312"/>
                <w:sz w:val="21"/>
                <w:szCs w:val="21"/>
                <w:lang w:eastAsia="zh-CN"/>
              </w:rPr>
            </w:pPr>
            <w:r>
              <w:rPr>
                <w:rFonts w:hint="eastAsia" w:ascii="仿宋_GB2312" w:hAnsi="仿宋_GB2312" w:eastAsia="仿宋_GB2312" w:cs="仿宋_GB2312"/>
                <w:sz w:val="21"/>
                <w:szCs w:val="21"/>
                <w:lang w:eastAsia="zh-CN"/>
              </w:rPr>
              <w:t>总投资</w:t>
            </w:r>
          </w:p>
        </w:tc>
        <w:tc>
          <w:tcPr>
            <w:tcW w:w="976" w:type="dxa"/>
            <w:tcBorders>
              <w:bottom w:val="single" w:color="auto" w:sz="4" w:space="0"/>
            </w:tcBorders>
            <w:noWrap w:val="0"/>
            <w:vAlign w:val="center"/>
          </w:tcPr>
          <w:p w14:paraId="1A920B04">
            <w:pPr>
              <w:keepNext w:val="0"/>
              <w:keepLines w:val="0"/>
              <w:pageBreakBefore w:val="0"/>
              <w:widowControl w:val="0"/>
              <w:kinsoku/>
              <w:wordWrap/>
              <w:overflowPunct/>
              <w:topLinePunct w:val="0"/>
              <w:autoSpaceDE/>
              <w:autoSpaceDN/>
              <w:bidi w:val="0"/>
              <w:adjustRightInd/>
              <w:snapToGrid/>
              <w:spacing w:line="420" w:lineRule="exact"/>
              <w:ind w:firstLine="210" w:firstLineChars="100"/>
              <w:jc w:val="both"/>
              <w:textAlignment w:val="auto"/>
              <w:rPr>
                <w:rFonts w:hint="default"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133</w:t>
            </w:r>
          </w:p>
        </w:tc>
      </w:tr>
    </w:tbl>
    <w:p w14:paraId="5A72D26F">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楷体_GB2312" w:hAnsi="楷体_GB2312" w:eastAsia="楷体_GB2312" w:cs="楷体_GB2312"/>
          <w:b w:val="0"/>
          <w:bCs w:val="0"/>
          <w:sz w:val="44"/>
          <w:szCs w:val="44"/>
          <w:lang w:eastAsia="zh-CN"/>
        </w:rPr>
      </w:pPr>
      <w:r>
        <w:rPr>
          <w:rFonts w:hint="eastAsia" w:ascii="方正小标宋简体" w:hAnsi="方正小标宋简体" w:eastAsia="方正小标宋简体" w:cs="方正小标宋简体"/>
          <w:b w:val="0"/>
          <w:bCs w:val="0"/>
          <w:sz w:val="44"/>
          <w:szCs w:val="44"/>
        </w:rPr>
        <w:t>资金</w:t>
      </w:r>
      <w:r>
        <w:rPr>
          <w:rFonts w:hint="eastAsia" w:ascii="方正小标宋简体" w:hAnsi="方正小标宋简体" w:eastAsia="方正小标宋简体" w:cs="方正小标宋简体"/>
          <w:b w:val="0"/>
          <w:bCs w:val="0"/>
          <w:sz w:val="44"/>
          <w:szCs w:val="44"/>
          <w:lang w:eastAsia="zh-CN"/>
        </w:rPr>
        <w:t>使用情况表</w:t>
      </w:r>
    </w:p>
    <w:p w14:paraId="1F635013">
      <w:pPr>
        <w:rPr>
          <w:rFonts w:hint="eastAsia"/>
          <w:lang w:val="en-US" w:eastAsia="zh-CN"/>
        </w:rPr>
      </w:pPr>
    </w:p>
    <w:p w14:paraId="584BF88B">
      <w:pPr>
        <w:bidi w:val="0"/>
        <w:rPr>
          <w:rFonts w:hint="eastAsia" w:ascii="Calibri" w:hAnsi="Calibri" w:eastAsia="宋体" w:cs="Calibri"/>
          <w:kern w:val="2"/>
          <w:sz w:val="21"/>
          <w:szCs w:val="21"/>
          <w:lang w:val="en-US" w:eastAsia="zh-CN" w:bidi="ar-SA"/>
        </w:rPr>
      </w:pPr>
    </w:p>
    <w:p w14:paraId="7763C60B">
      <w:pPr>
        <w:bidi w:val="0"/>
        <w:rPr>
          <w:rFonts w:hint="eastAsia"/>
          <w:lang w:val="en-US" w:eastAsia="zh-CN"/>
        </w:rPr>
      </w:pPr>
    </w:p>
    <w:p w14:paraId="72395F6C">
      <w:pPr>
        <w:bidi w:val="0"/>
        <w:rPr>
          <w:rFonts w:hint="eastAsia"/>
          <w:lang w:val="en-US" w:eastAsia="zh-CN"/>
        </w:rPr>
      </w:pPr>
    </w:p>
    <w:p w14:paraId="0D1ED3CD">
      <w:pPr>
        <w:bidi w:val="0"/>
        <w:rPr>
          <w:rFonts w:hint="eastAsia"/>
          <w:lang w:val="en-US" w:eastAsia="zh-CN"/>
        </w:rPr>
      </w:pPr>
    </w:p>
    <w:p w14:paraId="013CA4A4">
      <w:pPr>
        <w:bidi w:val="0"/>
        <w:rPr>
          <w:rFonts w:hint="eastAsia"/>
          <w:lang w:val="en-US" w:eastAsia="zh-CN"/>
        </w:rPr>
      </w:pPr>
    </w:p>
    <w:p w14:paraId="5C5F137B">
      <w:pPr>
        <w:bidi w:val="0"/>
        <w:rPr>
          <w:rFonts w:hint="eastAsia"/>
          <w:lang w:val="en-US" w:eastAsia="zh-CN"/>
        </w:rPr>
      </w:pPr>
    </w:p>
    <w:p w14:paraId="6646D6EC">
      <w:pPr>
        <w:bidi w:val="0"/>
        <w:rPr>
          <w:rFonts w:hint="eastAsia"/>
          <w:lang w:val="en-US" w:eastAsia="zh-CN"/>
        </w:rPr>
      </w:pPr>
    </w:p>
    <w:p w14:paraId="771387F9">
      <w:pPr>
        <w:bidi w:val="0"/>
        <w:rPr>
          <w:rFonts w:hint="eastAsia"/>
          <w:lang w:val="en-US" w:eastAsia="zh-CN"/>
        </w:rPr>
      </w:pPr>
    </w:p>
    <w:p w14:paraId="09E8FD14">
      <w:pPr>
        <w:bidi w:val="0"/>
        <w:rPr>
          <w:rFonts w:hint="eastAsia"/>
          <w:lang w:val="en-US" w:eastAsia="zh-CN"/>
        </w:rPr>
      </w:pPr>
    </w:p>
    <w:p w14:paraId="300C973A">
      <w:pPr>
        <w:bidi w:val="0"/>
        <w:rPr>
          <w:rFonts w:hint="eastAsia"/>
          <w:lang w:val="en-US" w:eastAsia="zh-CN"/>
        </w:rPr>
      </w:pPr>
    </w:p>
    <w:p w14:paraId="1D54AE39">
      <w:pPr>
        <w:bidi w:val="0"/>
        <w:rPr>
          <w:rFonts w:hint="eastAsia"/>
          <w:lang w:val="en-US" w:eastAsia="zh-CN"/>
        </w:rPr>
      </w:pPr>
    </w:p>
    <w:p w14:paraId="14299609">
      <w:pPr>
        <w:bidi w:val="0"/>
        <w:rPr>
          <w:rFonts w:hint="eastAsia"/>
          <w:lang w:val="en-US" w:eastAsia="zh-CN"/>
        </w:rPr>
      </w:pPr>
    </w:p>
    <w:p w14:paraId="4FC71A69">
      <w:pPr>
        <w:bidi w:val="0"/>
        <w:rPr>
          <w:rFonts w:hint="eastAsia"/>
          <w:lang w:val="en-US" w:eastAsia="zh-CN"/>
        </w:rPr>
      </w:pPr>
    </w:p>
    <w:p w14:paraId="61D42DB1">
      <w:pPr>
        <w:bidi w:val="0"/>
        <w:rPr>
          <w:rFonts w:hint="eastAsia"/>
          <w:lang w:val="en-US" w:eastAsia="zh-CN"/>
        </w:rPr>
      </w:pPr>
    </w:p>
    <w:p w14:paraId="638AD757">
      <w:pPr>
        <w:bidi w:val="0"/>
        <w:rPr>
          <w:rFonts w:hint="eastAsia"/>
          <w:lang w:val="en-US" w:eastAsia="zh-CN"/>
        </w:rPr>
      </w:pPr>
    </w:p>
    <w:p w14:paraId="0AA54E68">
      <w:pPr>
        <w:bidi w:val="0"/>
        <w:rPr>
          <w:rFonts w:hint="eastAsia"/>
          <w:lang w:val="en-US" w:eastAsia="zh-CN"/>
        </w:rPr>
      </w:pPr>
    </w:p>
    <w:p w14:paraId="11D0D66B">
      <w:pPr>
        <w:bidi w:val="0"/>
        <w:rPr>
          <w:rFonts w:hint="eastAsia"/>
          <w:lang w:val="en-US" w:eastAsia="zh-CN"/>
        </w:rPr>
      </w:pPr>
    </w:p>
    <w:p w14:paraId="6D755E05">
      <w:pPr>
        <w:bidi w:val="0"/>
        <w:rPr>
          <w:rFonts w:hint="eastAsia"/>
          <w:lang w:val="en-US" w:eastAsia="zh-CN"/>
        </w:rPr>
      </w:pPr>
    </w:p>
    <w:p w14:paraId="7025D680">
      <w:pPr>
        <w:bidi w:val="0"/>
        <w:rPr>
          <w:rFonts w:hint="eastAsia"/>
          <w:lang w:val="en-US" w:eastAsia="zh-CN"/>
        </w:rPr>
      </w:pPr>
    </w:p>
    <w:p w14:paraId="4425C62A">
      <w:pPr>
        <w:bidi w:val="0"/>
        <w:rPr>
          <w:rFonts w:hint="eastAsia"/>
          <w:lang w:val="en-US" w:eastAsia="zh-CN"/>
        </w:rPr>
      </w:pPr>
    </w:p>
    <w:p w14:paraId="04F76B97">
      <w:pPr>
        <w:bidi w:val="0"/>
        <w:rPr>
          <w:rFonts w:hint="eastAsia"/>
          <w:lang w:val="en-US" w:eastAsia="zh-CN"/>
        </w:rPr>
      </w:pPr>
    </w:p>
    <w:p w14:paraId="3E300FA9">
      <w:pPr>
        <w:bidi w:val="0"/>
        <w:rPr>
          <w:rFonts w:hint="eastAsia"/>
          <w:lang w:val="en-US" w:eastAsia="zh-CN"/>
        </w:rPr>
      </w:pPr>
    </w:p>
    <w:p w14:paraId="0BC96015">
      <w:pPr>
        <w:bidi w:val="0"/>
        <w:rPr>
          <w:rFonts w:hint="eastAsia"/>
          <w:lang w:val="en-US" w:eastAsia="zh-CN"/>
        </w:rPr>
      </w:pPr>
    </w:p>
    <w:p w14:paraId="1F844D61">
      <w:pPr>
        <w:bidi w:val="0"/>
        <w:rPr>
          <w:rFonts w:hint="eastAsia"/>
          <w:lang w:val="en-US" w:eastAsia="zh-CN"/>
        </w:rPr>
      </w:pPr>
    </w:p>
    <w:p w14:paraId="46A94A0C">
      <w:pPr>
        <w:bidi w:val="0"/>
        <w:rPr>
          <w:rFonts w:hint="eastAsia"/>
          <w:lang w:val="en-US" w:eastAsia="zh-CN"/>
        </w:rPr>
      </w:pPr>
    </w:p>
    <w:p w14:paraId="1C47E458">
      <w:pPr>
        <w:bidi w:val="0"/>
        <w:rPr>
          <w:rFonts w:hint="eastAsia"/>
          <w:lang w:val="en-US" w:eastAsia="zh-CN"/>
        </w:rPr>
      </w:pPr>
    </w:p>
    <w:p w14:paraId="3A387BE8">
      <w:pPr>
        <w:bidi w:val="0"/>
        <w:rPr>
          <w:rFonts w:hint="eastAsia"/>
          <w:lang w:val="en-US" w:eastAsia="zh-CN"/>
        </w:rPr>
      </w:pPr>
    </w:p>
    <w:p w14:paraId="5B3E51FF">
      <w:pPr>
        <w:bidi w:val="0"/>
        <w:rPr>
          <w:rFonts w:hint="eastAsia"/>
          <w:lang w:val="en-US" w:eastAsia="zh-CN"/>
        </w:rPr>
      </w:pPr>
    </w:p>
    <w:p w14:paraId="3C7E77D4">
      <w:pPr>
        <w:bidi w:val="0"/>
        <w:rPr>
          <w:rFonts w:hint="eastAsia"/>
          <w:lang w:val="en-US" w:eastAsia="zh-CN"/>
        </w:rPr>
      </w:pPr>
    </w:p>
    <w:p w14:paraId="6C9F14BF">
      <w:pPr>
        <w:bidi w:val="0"/>
        <w:rPr>
          <w:rFonts w:hint="eastAsia"/>
          <w:lang w:val="en-US" w:eastAsia="zh-CN"/>
        </w:rPr>
      </w:pPr>
    </w:p>
    <w:p w14:paraId="618BEB70">
      <w:pPr>
        <w:bidi w:val="0"/>
        <w:rPr>
          <w:rFonts w:hint="eastAsia"/>
          <w:lang w:val="en-US" w:eastAsia="zh-CN"/>
        </w:rPr>
      </w:pPr>
    </w:p>
    <w:p w14:paraId="3A10B64C">
      <w:pPr>
        <w:bidi w:val="0"/>
        <w:rPr>
          <w:rFonts w:hint="eastAsia"/>
          <w:lang w:val="en-US" w:eastAsia="zh-CN"/>
        </w:rPr>
      </w:pPr>
    </w:p>
    <w:p w14:paraId="37B600ED">
      <w:pPr>
        <w:bidi w:val="0"/>
        <w:rPr>
          <w:rFonts w:hint="eastAsia"/>
          <w:lang w:val="en-US" w:eastAsia="zh-CN"/>
        </w:rPr>
      </w:pPr>
    </w:p>
    <w:p w14:paraId="6C2A73F9">
      <w:pPr>
        <w:bidi w:val="0"/>
        <w:rPr>
          <w:rFonts w:hint="eastAsia"/>
          <w:lang w:val="en-US" w:eastAsia="zh-CN"/>
        </w:rPr>
      </w:pPr>
    </w:p>
    <w:p w14:paraId="5A8D7644">
      <w:pPr>
        <w:bidi w:val="0"/>
        <w:rPr>
          <w:rFonts w:hint="eastAsia"/>
          <w:lang w:val="en-US" w:eastAsia="zh-CN"/>
        </w:rPr>
      </w:pPr>
    </w:p>
    <w:p w14:paraId="0D2468A0">
      <w:pPr>
        <w:bidi w:val="0"/>
        <w:rPr>
          <w:rFonts w:hint="eastAsia"/>
          <w:lang w:val="en-US" w:eastAsia="zh-CN"/>
        </w:rPr>
      </w:pPr>
    </w:p>
    <w:p w14:paraId="5507A232">
      <w:pPr>
        <w:bidi w:val="0"/>
        <w:rPr>
          <w:rFonts w:hint="eastAsia"/>
          <w:lang w:val="en-US" w:eastAsia="zh-CN"/>
        </w:rPr>
      </w:pPr>
    </w:p>
    <w:p w14:paraId="0B4C015A">
      <w:pPr>
        <w:bidi w:val="0"/>
        <w:rPr>
          <w:rFonts w:hint="eastAsia"/>
          <w:lang w:val="en-US" w:eastAsia="zh-CN"/>
        </w:rPr>
      </w:pPr>
    </w:p>
    <w:p w14:paraId="6632673D">
      <w:pPr>
        <w:bidi w:val="0"/>
        <w:rPr>
          <w:rFonts w:hint="eastAsia"/>
          <w:lang w:val="en-US" w:eastAsia="zh-CN"/>
        </w:rPr>
      </w:pPr>
    </w:p>
    <w:p w14:paraId="0F04CB8F">
      <w:pPr>
        <w:bidi w:val="0"/>
        <w:rPr>
          <w:rFonts w:hint="eastAsia"/>
          <w:lang w:val="en-US" w:eastAsia="zh-CN"/>
        </w:rPr>
      </w:pPr>
    </w:p>
    <w:p w14:paraId="232AC104">
      <w:pPr>
        <w:bidi w:val="0"/>
        <w:rPr>
          <w:rFonts w:hint="eastAsia"/>
          <w:lang w:val="en-US" w:eastAsia="zh-CN"/>
        </w:rPr>
      </w:pPr>
    </w:p>
    <w:p w14:paraId="3CD9D921">
      <w:pPr>
        <w:bidi w:val="0"/>
        <w:rPr>
          <w:rFonts w:hint="eastAsia"/>
          <w:lang w:val="en-US" w:eastAsia="zh-CN"/>
        </w:rPr>
      </w:pPr>
    </w:p>
    <w:p w14:paraId="7F452A37">
      <w:pPr>
        <w:bidi w:val="0"/>
        <w:rPr>
          <w:rFonts w:hint="eastAsia"/>
          <w:lang w:val="en-US" w:eastAsia="zh-CN"/>
        </w:rPr>
      </w:pPr>
    </w:p>
    <w:p w14:paraId="03C61A94">
      <w:pPr>
        <w:rPr>
          <w:rFonts w:hint="eastAsia"/>
          <w:lang w:val="en-US" w:eastAsia="zh-CN"/>
        </w:rPr>
        <w:sectPr>
          <w:headerReference r:id="rId4" w:type="default"/>
          <w:footerReference r:id="rId5" w:type="default"/>
          <w:pgSz w:w="11906" w:h="16838"/>
          <w:pgMar w:top="851" w:right="680" w:bottom="851" w:left="680" w:header="851" w:footer="992" w:gutter="0"/>
          <w:pgNumType w:fmt="numberInDash"/>
          <w:cols w:space="425" w:num="1"/>
          <w:docGrid w:linePitch="312" w:charSpace="0"/>
        </w:sectPr>
      </w:pPr>
    </w:p>
    <w:p w14:paraId="78F25D5D">
      <w:pPr>
        <w:pStyle w:val="2"/>
        <w:jc w:val="left"/>
        <w:rPr>
          <w:rFonts w:hint="eastAsia" w:ascii="黑体" w:hAnsi="黑体" w:eastAsia="黑体" w:cs="黑体"/>
          <w:b w:val="0"/>
          <w:bCs w:val="0"/>
          <w:lang w:val="en-US" w:eastAsia="zh-CN"/>
        </w:rPr>
      </w:pPr>
      <w:r>
        <w:rPr>
          <w:rFonts w:hint="eastAsia" w:ascii="黑体" w:hAnsi="黑体" w:eastAsia="黑体" w:cs="黑体"/>
          <w:b w:val="0"/>
          <w:bCs w:val="0"/>
          <w:lang w:val="en-US" w:eastAsia="zh-CN"/>
        </w:rPr>
        <w:t>附件4</w:t>
      </w:r>
    </w:p>
    <w:tbl>
      <w:tblPr>
        <w:tblStyle w:val="7"/>
        <w:tblpPr w:leftFromText="180" w:rightFromText="180" w:vertAnchor="text" w:horzAnchor="page" w:tblpX="1574" w:tblpY="1290"/>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56"/>
        <w:gridCol w:w="1212"/>
        <w:gridCol w:w="1275"/>
        <w:gridCol w:w="456"/>
        <w:gridCol w:w="6915"/>
        <w:gridCol w:w="1560"/>
        <w:gridCol w:w="1701"/>
        <w:gridCol w:w="599"/>
      </w:tblGrid>
      <w:tr w14:paraId="3BC07F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trPr>
        <w:tc>
          <w:tcPr>
            <w:tcW w:w="456" w:type="dxa"/>
            <w:noWrap w:val="0"/>
            <w:vAlign w:val="center"/>
          </w:tcPr>
          <w:p w14:paraId="2900F50F">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序号</w:t>
            </w:r>
          </w:p>
        </w:tc>
        <w:tc>
          <w:tcPr>
            <w:tcW w:w="1212" w:type="dxa"/>
            <w:noWrap w:val="0"/>
            <w:vAlign w:val="center"/>
          </w:tcPr>
          <w:p w14:paraId="3AD1FA66">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一级指标</w:t>
            </w:r>
          </w:p>
        </w:tc>
        <w:tc>
          <w:tcPr>
            <w:tcW w:w="1275" w:type="dxa"/>
            <w:noWrap w:val="0"/>
            <w:vAlign w:val="center"/>
          </w:tcPr>
          <w:p w14:paraId="51E4D4EB">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二级指标</w:t>
            </w:r>
          </w:p>
        </w:tc>
        <w:tc>
          <w:tcPr>
            <w:tcW w:w="456" w:type="dxa"/>
            <w:noWrap w:val="0"/>
            <w:vAlign w:val="center"/>
          </w:tcPr>
          <w:p w14:paraId="454E527D">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分值</w:t>
            </w:r>
          </w:p>
        </w:tc>
        <w:tc>
          <w:tcPr>
            <w:tcW w:w="6915" w:type="dxa"/>
            <w:noWrap w:val="0"/>
            <w:vAlign w:val="center"/>
          </w:tcPr>
          <w:p w14:paraId="3C8DF3D7">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评分标准</w:t>
            </w:r>
          </w:p>
        </w:tc>
        <w:tc>
          <w:tcPr>
            <w:tcW w:w="1560" w:type="dxa"/>
            <w:tcBorders>
              <w:right w:val="single" w:color="auto" w:sz="4" w:space="0"/>
            </w:tcBorders>
            <w:noWrap w:val="0"/>
            <w:vAlign w:val="center"/>
          </w:tcPr>
          <w:p w14:paraId="297123D8">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评分依据</w:t>
            </w:r>
          </w:p>
        </w:tc>
        <w:tc>
          <w:tcPr>
            <w:tcW w:w="1701" w:type="dxa"/>
            <w:tcBorders>
              <w:right w:val="single" w:color="auto" w:sz="4" w:space="0"/>
            </w:tcBorders>
            <w:noWrap w:val="0"/>
            <w:vAlign w:val="center"/>
          </w:tcPr>
          <w:p w14:paraId="5E912BCE">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扣分及</w:t>
            </w:r>
          </w:p>
          <w:p w14:paraId="74103F40">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扣分原由</w:t>
            </w:r>
          </w:p>
        </w:tc>
        <w:tc>
          <w:tcPr>
            <w:tcW w:w="599" w:type="dxa"/>
            <w:tcBorders>
              <w:left w:val="single" w:color="auto" w:sz="4" w:space="0"/>
            </w:tcBorders>
            <w:noWrap w:val="0"/>
            <w:vAlign w:val="center"/>
          </w:tcPr>
          <w:p w14:paraId="707D828A">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得分</w:t>
            </w:r>
          </w:p>
        </w:tc>
      </w:tr>
      <w:tr w14:paraId="1DC974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88" w:hRule="atLeast"/>
        </w:trPr>
        <w:tc>
          <w:tcPr>
            <w:tcW w:w="456" w:type="dxa"/>
            <w:noWrap w:val="0"/>
            <w:vAlign w:val="center"/>
          </w:tcPr>
          <w:p w14:paraId="3ED33C81">
            <w:pPr>
              <w:spacing w:line="30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1</w:t>
            </w:r>
          </w:p>
        </w:tc>
        <w:tc>
          <w:tcPr>
            <w:tcW w:w="1212" w:type="dxa"/>
            <w:vMerge w:val="restart"/>
            <w:noWrap w:val="0"/>
            <w:vAlign w:val="center"/>
          </w:tcPr>
          <w:p w14:paraId="7D6D5AAF">
            <w:pPr>
              <w:spacing w:line="30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重点工作</w:t>
            </w:r>
          </w:p>
          <w:p w14:paraId="36E6600E">
            <w:pPr>
              <w:spacing w:line="30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（80分）</w:t>
            </w:r>
          </w:p>
        </w:tc>
        <w:tc>
          <w:tcPr>
            <w:tcW w:w="1275" w:type="dxa"/>
            <w:noWrap w:val="0"/>
            <w:vAlign w:val="center"/>
          </w:tcPr>
          <w:p w14:paraId="15EDE76A">
            <w:pPr>
              <w:spacing w:line="30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基层农技推广机构标准化建设</w:t>
            </w:r>
          </w:p>
        </w:tc>
        <w:tc>
          <w:tcPr>
            <w:tcW w:w="456" w:type="dxa"/>
            <w:noWrap w:val="0"/>
            <w:vAlign w:val="center"/>
          </w:tcPr>
          <w:p w14:paraId="664B947E">
            <w:pPr>
              <w:spacing w:line="30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5</w:t>
            </w:r>
          </w:p>
        </w:tc>
        <w:tc>
          <w:tcPr>
            <w:tcW w:w="6915" w:type="dxa"/>
            <w:noWrap w:val="0"/>
            <w:vAlign w:val="center"/>
          </w:tcPr>
          <w:p w14:paraId="6158A805">
            <w:pPr>
              <w:spacing w:line="300" w:lineRule="exact"/>
              <w:jc w:val="left"/>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1、使用“中国农技推广”标识共2分，全部机构使用得2分，有机构未使用不得分；</w:t>
            </w:r>
          </w:p>
          <w:p w14:paraId="5AFB1FA1">
            <w:pPr>
              <w:spacing w:line="300" w:lineRule="exact"/>
              <w:rPr>
                <w:rFonts w:hint="default" w:ascii="Times New Roman" w:hAnsi="Times New Roman" w:eastAsia="宋体" w:cs="Times New Roman"/>
                <w:color w:val="auto"/>
                <w:highlight w:val="none"/>
              </w:rPr>
            </w:pPr>
            <w:r>
              <w:rPr>
                <w:rFonts w:hint="default" w:ascii="Times New Roman" w:hAnsi="Times New Roman" w:eastAsia="仿宋_GB2312" w:cs="Times New Roman"/>
                <w:color w:val="auto"/>
                <w:highlight w:val="none"/>
              </w:rPr>
              <w:t>2、配备必要业务用房和仪器设备共3分，综合考虑实际情况打分。</w:t>
            </w:r>
          </w:p>
        </w:tc>
        <w:tc>
          <w:tcPr>
            <w:tcW w:w="1560" w:type="dxa"/>
            <w:vMerge w:val="restart"/>
            <w:tcBorders>
              <w:right w:val="single" w:color="auto" w:sz="4" w:space="0"/>
            </w:tcBorders>
            <w:noWrap w:val="0"/>
            <w:vAlign w:val="center"/>
          </w:tcPr>
          <w:p w14:paraId="780A2085">
            <w:pPr>
              <w:spacing w:line="300" w:lineRule="exact"/>
              <w:jc w:val="left"/>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依据“中国农技推广信息平台”数据与现场抽查相结合进行评分。</w:t>
            </w:r>
          </w:p>
        </w:tc>
        <w:tc>
          <w:tcPr>
            <w:tcW w:w="1701" w:type="dxa"/>
            <w:tcBorders>
              <w:right w:val="single" w:color="auto" w:sz="4" w:space="0"/>
            </w:tcBorders>
            <w:noWrap w:val="0"/>
            <w:vAlign w:val="center"/>
          </w:tcPr>
          <w:p w14:paraId="6784DF3C">
            <w:pPr>
              <w:spacing w:line="300" w:lineRule="exact"/>
              <w:jc w:val="center"/>
              <w:rPr>
                <w:rFonts w:hint="default" w:ascii="Times New Roman" w:hAnsi="Times New Roman" w:eastAsia="仿宋_GB2312" w:cs="Times New Roman"/>
                <w:color w:val="auto"/>
                <w:highlight w:val="none"/>
              </w:rPr>
            </w:pPr>
          </w:p>
        </w:tc>
        <w:tc>
          <w:tcPr>
            <w:tcW w:w="599" w:type="dxa"/>
            <w:tcBorders>
              <w:left w:val="single" w:color="auto" w:sz="4" w:space="0"/>
            </w:tcBorders>
            <w:noWrap w:val="0"/>
            <w:vAlign w:val="center"/>
          </w:tcPr>
          <w:p w14:paraId="2499D265">
            <w:pPr>
              <w:spacing w:line="300" w:lineRule="exact"/>
              <w:jc w:val="center"/>
              <w:rPr>
                <w:rFonts w:hint="default" w:ascii="Times New Roman" w:hAnsi="Times New Roman" w:eastAsia="仿宋_GB2312" w:cs="Times New Roman"/>
                <w:color w:val="auto"/>
                <w:highlight w:val="none"/>
              </w:rPr>
            </w:pPr>
          </w:p>
        </w:tc>
      </w:tr>
      <w:tr w14:paraId="48FB81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18" w:hRule="atLeast"/>
        </w:trPr>
        <w:tc>
          <w:tcPr>
            <w:tcW w:w="456" w:type="dxa"/>
            <w:noWrap w:val="0"/>
            <w:vAlign w:val="center"/>
          </w:tcPr>
          <w:p w14:paraId="22D88654">
            <w:pPr>
              <w:spacing w:line="30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2</w:t>
            </w:r>
          </w:p>
        </w:tc>
        <w:tc>
          <w:tcPr>
            <w:tcW w:w="1212" w:type="dxa"/>
            <w:vMerge w:val="continue"/>
            <w:noWrap w:val="0"/>
            <w:vAlign w:val="center"/>
          </w:tcPr>
          <w:p w14:paraId="46D56359">
            <w:pPr>
              <w:spacing w:line="300" w:lineRule="exact"/>
              <w:jc w:val="center"/>
              <w:rPr>
                <w:rFonts w:hint="default" w:ascii="Times New Roman" w:hAnsi="Times New Roman" w:eastAsia="仿宋_GB2312" w:cs="Times New Roman"/>
                <w:color w:val="auto"/>
                <w:highlight w:val="none"/>
              </w:rPr>
            </w:pPr>
          </w:p>
        </w:tc>
        <w:tc>
          <w:tcPr>
            <w:tcW w:w="1275" w:type="dxa"/>
            <w:noWrap w:val="0"/>
            <w:vAlign w:val="center"/>
          </w:tcPr>
          <w:p w14:paraId="5F91FDA9">
            <w:pPr>
              <w:spacing w:line="30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农技人员能力提升</w:t>
            </w:r>
          </w:p>
        </w:tc>
        <w:tc>
          <w:tcPr>
            <w:tcW w:w="456" w:type="dxa"/>
            <w:noWrap w:val="0"/>
            <w:vAlign w:val="center"/>
          </w:tcPr>
          <w:p w14:paraId="0551451C">
            <w:pPr>
              <w:spacing w:line="30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10</w:t>
            </w:r>
          </w:p>
        </w:tc>
        <w:tc>
          <w:tcPr>
            <w:tcW w:w="6915" w:type="dxa"/>
            <w:noWrap w:val="0"/>
            <w:vAlign w:val="center"/>
          </w:tcPr>
          <w:p w14:paraId="72B505C1">
            <w:pPr>
              <w:spacing w:line="300" w:lineRule="exact"/>
              <w:jc w:val="left"/>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1、全</w:t>
            </w:r>
            <w:r>
              <w:rPr>
                <w:rFonts w:hint="eastAsia" w:ascii="Times New Roman" w:hAnsi="Times New Roman" w:eastAsia="仿宋_GB2312" w:cs="Times New Roman"/>
                <w:color w:val="auto"/>
                <w:highlight w:val="none"/>
                <w:lang w:eastAsia="zh-CN"/>
              </w:rPr>
              <w:t>旗</w:t>
            </w:r>
            <w:r>
              <w:rPr>
                <w:rFonts w:hint="default" w:ascii="Times New Roman" w:hAnsi="Times New Roman" w:eastAsia="仿宋_GB2312" w:cs="Times New Roman"/>
                <w:color w:val="auto"/>
                <w:highlight w:val="none"/>
              </w:rPr>
              <w:t>1/3以上在编基层农技人员接受连续不少于5天的脱产业务培训的得3分，未完成不得分；</w:t>
            </w:r>
          </w:p>
          <w:p w14:paraId="34EE2BB4">
            <w:pPr>
              <w:spacing w:line="300" w:lineRule="exact"/>
              <w:rPr>
                <w:rFonts w:hint="default" w:ascii="Times New Roman" w:hAnsi="Times New Roman" w:eastAsia="仿宋_GB2312" w:cs="Times New Roman"/>
                <w:color w:val="auto"/>
                <w:highlight w:val="none"/>
                <w:lang w:val="en-US"/>
              </w:rPr>
            </w:pPr>
            <w:r>
              <w:rPr>
                <w:rFonts w:hint="default" w:ascii="Times New Roman" w:hAnsi="Times New Roman" w:eastAsia="仿宋_GB2312" w:cs="Times New Roman"/>
                <w:color w:val="auto"/>
                <w:highlight w:val="none"/>
              </w:rPr>
              <w:t>2</w:t>
            </w:r>
            <w:r>
              <w:rPr>
                <w:rFonts w:hint="eastAsia" w:ascii="Times New Roman" w:hAnsi="Times New Roman" w:eastAsia="仿宋_GB2312" w:cs="Times New Roman"/>
                <w:color w:val="auto"/>
                <w:highlight w:val="none"/>
                <w:lang w:eastAsia="zh-CN"/>
              </w:rPr>
              <w:t>、省级农牧部门组织对骨干农技人才进行不少于</w:t>
            </w:r>
            <w:r>
              <w:rPr>
                <w:rFonts w:hint="eastAsia" w:ascii="Times New Roman" w:hAnsi="Times New Roman" w:eastAsia="仿宋_GB2312" w:cs="Times New Roman"/>
                <w:color w:val="auto"/>
                <w:highlight w:val="none"/>
                <w:lang w:val="en-US" w:eastAsia="zh-CN"/>
              </w:rPr>
              <w:t>5天脱产业务培训得3分，未完成不得分。</w:t>
            </w:r>
          </w:p>
          <w:p w14:paraId="6AD6EEC9">
            <w:pPr>
              <w:spacing w:line="300" w:lineRule="exact"/>
              <w:rPr>
                <w:rFonts w:hint="default" w:ascii="Times New Roman" w:hAnsi="Times New Roman" w:eastAsia="宋体" w:cs="Times New Roman"/>
                <w:color w:val="auto"/>
                <w:highlight w:val="none"/>
              </w:rPr>
            </w:pPr>
            <w:r>
              <w:rPr>
                <w:rFonts w:hint="default" w:ascii="Times New Roman" w:hAnsi="Times New Roman" w:eastAsia="仿宋_GB2312" w:cs="Times New Roman"/>
                <w:color w:val="auto"/>
                <w:highlight w:val="none"/>
              </w:rPr>
              <w:t>3</w:t>
            </w:r>
            <w:r>
              <w:rPr>
                <w:rFonts w:hint="eastAsia" w:ascii="Times New Roman" w:hAnsi="Times New Roman" w:eastAsia="仿宋_GB2312" w:cs="Times New Roman"/>
                <w:color w:val="auto"/>
                <w:highlight w:val="none"/>
                <w:lang w:eastAsia="zh-CN"/>
              </w:rPr>
              <w:t>、</w:t>
            </w:r>
            <w:r>
              <w:rPr>
                <w:rFonts w:hint="default" w:ascii="Times New Roman" w:hAnsi="Times New Roman" w:eastAsia="仿宋_GB2312" w:cs="Times New Roman"/>
                <w:color w:val="auto"/>
                <w:highlight w:val="none"/>
              </w:rPr>
              <w:t>骨干农技人才培训效果共</w:t>
            </w:r>
            <w:r>
              <w:rPr>
                <w:rFonts w:hint="eastAsia" w:ascii="Times New Roman" w:hAnsi="Times New Roman" w:eastAsia="仿宋_GB2312" w:cs="Times New Roman"/>
                <w:color w:val="auto"/>
                <w:highlight w:val="none"/>
                <w:lang w:val="en-US" w:eastAsia="zh-CN"/>
              </w:rPr>
              <w:t>4</w:t>
            </w:r>
            <w:r>
              <w:rPr>
                <w:rFonts w:hint="default" w:ascii="Times New Roman" w:hAnsi="Times New Roman" w:eastAsia="仿宋_GB2312" w:cs="Times New Roman"/>
                <w:color w:val="auto"/>
                <w:highlight w:val="none"/>
              </w:rPr>
              <w:t>分，综合考虑实施效果打分。</w:t>
            </w:r>
          </w:p>
        </w:tc>
        <w:tc>
          <w:tcPr>
            <w:tcW w:w="1560" w:type="dxa"/>
            <w:vMerge w:val="continue"/>
            <w:tcBorders>
              <w:right w:val="single" w:color="auto" w:sz="4" w:space="0"/>
            </w:tcBorders>
            <w:noWrap w:val="0"/>
            <w:vAlign w:val="center"/>
          </w:tcPr>
          <w:p w14:paraId="736A10B1">
            <w:pPr>
              <w:spacing w:line="300" w:lineRule="exact"/>
              <w:jc w:val="left"/>
              <w:rPr>
                <w:rFonts w:hint="default" w:ascii="Times New Roman" w:hAnsi="Times New Roman" w:eastAsia="仿宋_GB2312" w:cs="Times New Roman"/>
                <w:color w:val="auto"/>
                <w:highlight w:val="none"/>
              </w:rPr>
            </w:pPr>
          </w:p>
        </w:tc>
        <w:tc>
          <w:tcPr>
            <w:tcW w:w="1701" w:type="dxa"/>
            <w:tcBorders>
              <w:right w:val="single" w:color="auto" w:sz="4" w:space="0"/>
            </w:tcBorders>
            <w:noWrap w:val="0"/>
            <w:vAlign w:val="center"/>
          </w:tcPr>
          <w:p w14:paraId="6C9D5A4D">
            <w:pPr>
              <w:spacing w:line="300" w:lineRule="exact"/>
              <w:jc w:val="center"/>
              <w:rPr>
                <w:rFonts w:hint="default" w:ascii="Times New Roman" w:hAnsi="Times New Roman" w:eastAsia="仿宋_GB2312" w:cs="Times New Roman"/>
                <w:color w:val="auto"/>
                <w:highlight w:val="none"/>
              </w:rPr>
            </w:pPr>
          </w:p>
        </w:tc>
        <w:tc>
          <w:tcPr>
            <w:tcW w:w="599" w:type="dxa"/>
            <w:tcBorders>
              <w:left w:val="single" w:color="auto" w:sz="4" w:space="0"/>
            </w:tcBorders>
            <w:noWrap w:val="0"/>
            <w:vAlign w:val="center"/>
          </w:tcPr>
          <w:p w14:paraId="05034D83">
            <w:pPr>
              <w:spacing w:line="300" w:lineRule="exact"/>
              <w:jc w:val="center"/>
              <w:rPr>
                <w:rFonts w:hint="default" w:ascii="Times New Roman" w:hAnsi="Times New Roman" w:eastAsia="仿宋_GB2312" w:cs="Times New Roman"/>
                <w:color w:val="auto"/>
                <w:highlight w:val="none"/>
              </w:rPr>
            </w:pPr>
          </w:p>
        </w:tc>
      </w:tr>
      <w:tr w14:paraId="2EC9CB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74" w:hRule="atLeast"/>
        </w:trPr>
        <w:tc>
          <w:tcPr>
            <w:tcW w:w="456" w:type="dxa"/>
            <w:noWrap w:val="0"/>
            <w:vAlign w:val="center"/>
          </w:tcPr>
          <w:p w14:paraId="4998EAA4">
            <w:pPr>
              <w:spacing w:line="30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3</w:t>
            </w:r>
          </w:p>
        </w:tc>
        <w:tc>
          <w:tcPr>
            <w:tcW w:w="1212" w:type="dxa"/>
            <w:vMerge w:val="continue"/>
            <w:noWrap w:val="0"/>
            <w:vAlign w:val="center"/>
          </w:tcPr>
          <w:p w14:paraId="0F56626C">
            <w:pPr>
              <w:spacing w:line="300" w:lineRule="exact"/>
              <w:jc w:val="center"/>
              <w:rPr>
                <w:rFonts w:hint="default" w:ascii="Times New Roman" w:hAnsi="Times New Roman" w:eastAsia="仿宋_GB2312" w:cs="Times New Roman"/>
                <w:color w:val="auto"/>
                <w:highlight w:val="none"/>
              </w:rPr>
            </w:pPr>
          </w:p>
        </w:tc>
        <w:tc>
          <w:tcPr>
            <w:tcW w:w="1275" w:type="dxa"/>
            <w:noWrap w:val="0"/>
            <w:vAlign w:val="center"/>
          </w:tcPr>
          <w:p w14:paraId="4F97EB24">
            <w:pPr>
              <w:spacing w:line="30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技术推广应用</w:t>
            </w:r>
          </w:p>
        </w:tc>
        <w:tc>
          <w:tcPr>
            <w:tcW w:w="456" w:type="dxa"/>
            <w:noWrap w:val="0"/>
            <w:vAlign w:val="center"/>
          </w:tcPr>
          <w:p w14:paraId="2F423C6C">
            <w:pPr>
              <w:spacing w:line="30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25</w:t>
            </w:r>
          </w:p>
        </w:tc>
        <w:tc>
          <w:tcPr>
            <w:tcW w:w="6915" w:type="dxa"/>
            <w:noWrap w:val="0"/>
            <w:vAlign w:val="center"/>
          </w:tcPr>
          <w:p w14:paraId="10FF286A">
            <w:pPr>
              <w:spacing w:line="300" w:lineRule="exact"/>
              <w:jc w:val="left"/>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1、农业科技示范展示基地建设效果共10分，完成年度基地建设任务得5分，未完成不得分；基地示范展示效果共5分，综合考虑实施情况打分；</w:t>
            </w:r>
          </w:p>
          <w:p w14:paraId="6CDCDF46">
            <w:pPr>
              <w:spacing w:line="300" w:lineRule="exact"/>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2、农业科技示范主体培育共5分，综合考虑实施情况打分；</w:t>
            </w:r>
          </w:p>
          <w:p w14:paraId="7B44D9DC">
            <w:pPr>
              <w:spacing w:line="300" w:lineRule="exact"/>
              <w:rPr>
                <w:rFonts w:hint="default" w:ascii="Times New Roman" w:hAnsi="Times New Roman" w:eastAsia="宋体" w:cs="Times New Roman"/>
                <w:color w:val="auto"/>
                <w:highlight w:val="none"/>
              </w:rPr>
            </w:pPr>
            <w:r>
              <w:rPr>
                <w:rFonts w:hint="default" w:ascii="Times New Roman" w:hAnsi="Times New Roman" w:eastAsia="仿宋_GB2312" w:cs="Times New Roman"/>
                <w:color w:val="auto"/>
                <w:highlight w:val="none"/>
              </w:rPr>
              <w:t>3、农业主推技术到位率共10分，超过95%得10分，每少1个百分点扣2分，扣完为止。</w:t>
            </w:r>
          </w:p>
        </w:tc>
        <w:tc>
          <w:tcPr>
            <w:tcW w:w="1560" w:type="dxa"/>
            <w:vMerge w:val="continue"/>
            <w:tcBorders>
              <w:right w:val="single" w:color="auto" w:sz="4" w:space="0"/>
            </w:tcBorders>
            <w:noWrap w:val="0"/>
            <w:vAlign w:val="center"/>
          </w:tcPr>
          <w:p w14:paraId="2FC4F3E9">
            <w:pPr>
              <w:spacing w:line="300" w:lineRule="exact"/>
              <w:jc w:val="left"/>
              <w:rPr>
                <w:rFonts w:hint="default" w:ascii="Times New Roman" w:hAnsi="Times New Roman" w:eastAsia="仿宋_GB2312" w:cs="Times New Roman"/>
                <w:color w:val="auto"/>
                <w:highlight w:val="none"/>
              </w:rPr>
            </w:pPr>
          </w:p>
        </w:tc>
        <w:tc>
          <w:tcPr>
            <w:tcW w:w="1701" w:type="dxa"/>
            <w:tcBorders>
              <w:right w:val="single" w:color="auto" w:sz="4" w:space="0"/>
            </w:tcBorders>
            <w:noWrap w:val="0"/>
            <w:vAlign w:val="center"/>
          </w:tcPr>
          <w:p w14:paraId="1977730D">
            <w:pPr>
              <w:spacing w:line="300" w:lineRule="exact"/>
              <w:jc w:val="center"/>
              <w:rPr>
                <w:rFonts w:hint="default" w:ascii="Times New Roman" w:hAnsi="Times New Roman" w:eastAsia="仿宋_GB2312" w:cs="Times New Roman"/>
                <w:color w:val="auto"/>
                <w:highlight w:val="none"/>
              </w:rPr>
            </w:pPr>
          </w:p>
        </w:tc>
        <w:tc>
          <w:tcPr>
            <w:tcW w:w="599" w:type="dxa"/>
            <w:tcBorders>
              <w:left w:val="single" w:color="auto" w:sz="4" w:space="0"/>
            </w:tcBorders>
            <w:noWrap w:val="0"/>
            <w:vAlign w:val="center"/>
          </w:tcPr>
          <w:p w14:paraId="42357121">
            <w:pPr>
              <w:spacing w:line="300" w:lineRule="exact"/>
              <w:jc w:val="center"/>
              <w:rPr>
                <w:rFonts w:hint="default" w:ascii="Times New Roman" w:hAnsi="Times New Roman" w:eastAsia="仿宋_GB2312" w:cs="Times New Roman"/>
                <w:color w:val="auto"/>
                <w:highlight w:val="none"/>
              </w:rPr>
            </w:pPr>
          </w:p>
        </w:tc>
      </w:tr>
    </w:tbl>
    <w:p w14:paraId="4A70D3C2">
      <w:pPr>
        <w:spacing w:line="600" w:lineRule="exact"/>
        <w:jc w:val="center"/>
        <w:rPr>
          <w:rFonts w:hint="eastAsia" w:ascii="方正小标宋简体" w:hAnsi="方正小标宋简体" w:eastAsia="方正小标宋简体" w:cs="方正小标宋简体"/>
          <w:color w:val="auto"/>
          <w:sz w:val="24"/>
          <w:szCs w:val="24"/>
          <w:highlight w:val="none"/>
        </w:rPr>
      </w:pPr>
      <w:r>
        <w:rPr>
          <w:rFonts w:hint="eastAsia" w:ascii="方正小标宋简体" w:hAnsi="方正小标宋简体" w:eastAsia="方正小标宋简体" w:cs="方正小标宋简体"/>
          <w:color w:val="auto"/>
          <w:sz w:val="34"/>
          <w:szCs w:val="34"/>
          <w:highlight w:val="none"/>
          <w:lang w:eastAsia="zh-CN"/>
        </w:rPr>
        <w:t>奈曼旗</w:t>
      </w:r>
      <w:r>
        <w:rPr>
          <w:rFonts w:hint="eastAsia" w:ascii="方正小标宋简体" w:hAnsi="方正小标宋简体" w:eastAsia="方正小标宋简体" w:cs="方正小标宋简体"/>
          <w:color w:val="auto"/>
          <w:sz w:val="34"/>
          <w:szCs w:val="34"/>
          <w:highlight w:val="none"/>
        </w:rPr>
        <w:t>202</w:t>
      </w:r>
      <w:r>
        <w:rPr>
          <w:rFonts w:hint="eastAsia" w:ascii="方正小标宋简体" w:hAnsi="方正小标宋简体" w:eastAsia="方正小标宋简体" w:cs="方正小标宋简体"/>
          <w:color w:val="auto"/>
          <w:sz w:val="34"/>
          <w:szCs w:val="34"/>
          <w:highlight w:val="none"/>
          <w:lang w:val="en-US" w:eastAsia="zh-CN"/>
        </w:rPr>
        <w:t>4</w:t>
      </w:r>
      <w:r>
        <w:rPr>
          <w:rFonts w:hint="eastAsia" w:ascii="方正小标宋简体" w:hAnsi="方正小标宋简体" w:eastAsia="方正小标宋简体" w:cs="方正小标宋简体"/>
          <w:color w:val="auto"/>
          <w:sz w:val="34"/>
          <w:szCs w:val="34"/>
          <w:highlight w:val="none"/>
        </w:rPr>
        <w:t>年基层农技推广体系改革与建设补助政策落实延伸绩效管理线下指标体系</w:t>
      </w:r>
    </w:p>
    <w:p w14:paraId="1DD53E80">
      <w:pPr>
        <w:spacing w:line="600" w:lineRule="exact"/>
        <w:jc w:val="left"/>
        <w:rPr>
          <w:rFonts w:hint="default" w:ascii="Times New Roman" w:hAnsi="Times New Roman" w:eastAsia="仿宋_GB2312" w:cs="Times New Roman"/>
          <w:color w:val="auto"/>
          <w:sz w:val="10"/>
          <w:szCs w:val="10"/>
          <w:highlight w:val="none"/>
        </w:rPr>
      </w:pPr>
    </w:p>
    <w:p w14:paraId="5B26FF62">
      <w:pPr>
        <w:pStyle w:val="3"/>
        <w:rPr>
          <w:rFonts w:hint="default"/>
        </w:rPr>
      </w:pPr>
    </w:p>
    <w:p w14:paraId="1692025A">
      <w:pPr>
        <w:bidi w:val="0"/>
        <w:rPr>
          <w:rFonts w:hint="default"/>
        </w:rPr>
      </w:pPr>
    </w:p>
    <w:p w14:paraId="4EACE37F">
      <w:pPr>
        <w:bidi w:val="0"/>
        <w:rPr>
          <w:rFonts w:hint="default"/>
        </w:rPr>
      </w:pPr>
    </w:p>
    <w:p w14:paraId="1240D51A">
      <w:pPr>
        <w:bidi w:val="0"/>
        <w:rPr>
          <w:rFonts w:hint="default"/>
        </w:rPr>
      </w:pPr>
    </w:p>
    <w:p w14:paraId="261E5947">
      <w:pPr>
        <w:bidi w:val="0"/>
        <w:rPr>
          <w:rFonts w:hint="default"/>
        </w:rPr>
      </w:pPr>
    </w:p>
    <w:p w14:paraId="10146B74">
      <w:pPr>
        <w:bidi w:val="0"/>
        <w:rPr>
          <w:rFonts w:hint="default"/>
        </w:rPr>
      </w:pPr>
    </w:p>
    <w:p w14:paraId="33E48809">
      <w:pPr>
        <w:bidi w:val="0"/>
        <w:rPr>
          <w:rFonts w:hint="default"/>
        </w:rPr>
      </w:pPr>
    </w:p>
    <w:p w14:paraId="35CB6D61">
      <w:pPr>
        <w:bidi w:val="0"/>
        <w:rPr>
          <w:rFonts w:hint="default"/>
        </w:rPr>
      </w:pPr>
    </w:p>
    <w:p w14:paraId="6F77E7F8">
      <w:pPr>
        <w:bidi w:val="0"/>
        <w:rPr>
          <w:rFonts w:hint="default"/>
        </w:rPr>
      </w:pPr>
    </w:p>
    <w:p w14:paraId="337E2946">
      <w:pPr>
        <w:bidi w:val="0"/>
        <w:rPr>
          <w:rFonts w:hint="default"/>
        </w:rPr>
      </w:pPr>
    </w:p>
    <w:p w14:paraId="1600A556">
      <w:pPr>
        <w:bidi w:val="0"/>
        <w:rPr>
          <w:rFonts w:hint="default"/>
        </w:rPr>
      </w:pPr>
    </w:p>
    <w:p w14:paraId="1D6DDCD3">
      <w:pPr>
        <w:bidi w:val="0"/>
        <w:rPr>
          <w:rFonts w:hint="default"/>
        </w:rPr>
      </w:pPr>
    </w:p>
    <w:p w14:paraId="2B9F2F60">
      <w:pPr>
        <w:bidi w:val="0"/>
        <w:rPr>
          <w:rFonts w:hint="default"/>
        </w:rPr>
      </w:pPr>
    </w:p>
    <w:p w14:paraId="60E8021C">
      <w:pPr>
        <w:bidi w:val="0"/>
        <w:rPr>
          <w:rFonts w:hint="default"/>
        </w:rPr>
      </w:pPr>
    </w:p>
    <w:p w14:paraId="73CACBD5">
      <w:pPr>
        <w:bidi w:val="0"/>
        <w:rPr>
          <w:rFonts w:hint="default"/>
        </w:rPr>
      </w:pPr>
    </w:p>
    <w:p w14:paraId="32BAA9C1">
      <w:pPr>
        <w:bidi w:val="0"/>
        <w:rPr>
          <w:rFonts w:hint="default"/>
        </w:rPr>
      </w:pPr>
    </w:p>
    <w:p w14:paraId="30050709">
      <w:pPr>
        <w:bidi w:val="0"/>
        <w:rPr>
          <w:rFonts w:hint="default"/>
        </w:rPr>
      </w:pPr>
    </w:p>
    <w:p w14:paraId="2F989BCB">
      <w:pPr>
        <w:bidi w:val="0"/>
        <w:rPr>
          <w:rFonts w:hint="default"/>
        </w:rPr>
      </w:pPr>
    </w:p>
    <w:p w14:paraId="41290D24">
      <w:pPr>
        <w:bidi w:val="0"/>
        <w:rPr>
          <w:rFonts w:hint="default"/>
        </w:rPr>
      </w:pPr>
    </w:p>
    <w:p w14:paraId="1E2CD265">
      <w:pPr>
        <w:bidi w:val="0"/>
        <w:rPr>
          <w:rFonts w:hint="default"/>
        </w:rPr>
      </w:pPr>
    </w:p>
    <w:p w14:paraId="153CB22D">
      <w:pPr>
        <w:bidi w:val="0"/>
        <w:rPr>
          <w:rFonts w:hint="default"/>
        </w:rPr>
      </w:pPr>
    </w:p>
    <w:p w14:paraId="1D566BF4">
      <w:pPr>
        <w:bidi w:val="0"/>
        <w:rPr>
          <w:rFonts w:hint="default"/>
        </w:rPr>
      </w:pPr>
    </w:p>
    <w:p w14:paraId="44F0FB5B">
      <w:pPr>
        <w:bidi w:val="0"/>
        <w:rPr>
          <w:rFonts w:hint="default"/>
        </w:rPr>
      </w:pPr>
    </w:p>
    <w:p w14:paraId="5EFA65B0">
      <w:pPr>
        <w:bidi w:val="0"/>
        <w:rPr>
          <w:rFonts w:hint="default"/>
        </w:rPr>
      </w:pPr>
    </w:p>
    <w:p w14:paraId="4C0F2BD4">
      <w:pPr>
        <w:bidi w:val="0"/>
        <w:rPr>
          <w:rFonts w:hint="default"/>
        </w:rPr>
      </w:pPr>
    </w:p>
    <w:p w14:paraId="47EBABAE">
      <w:pPr>
        <w:bidi w:val="0"/>
        <w:rPr>
          <w:rFonts w:hint="default"/>
        </w:rPr>
      </w:pPr>
    </w:p>
    <w:p w14:paraId="5CE4E6CE">
      <w:pPr>
        <w:bidi w:val="0"/>
        <w:rPr>
          <w:rFonts w:hint="default"/>
        </w:rPr>
      </w:pPr>
    </w:p>
    <w:p w14:paraId="436CBE7E">
      <w:pPr>
        <w:bidi w:val="0"/>
        <w:rPr>
          <w:rFonts w:hint="default"/>
        </w:rPr>
      </w:pPr>
    </w:p>
    <w:p w14:paraId="4A0A11EF">
      <w:pPr>
        <w:tabs>
          <w:tab w:val="left" w:pos="1509"/>
        </w:tabs>
        <w:bidi w:val="0"/>
        <w:jc w:val="left"/>
        <w:rPr>
          <w:rFonts w:hint="eastAsia"/>
          <w:lang w:eastAsia="zh-CN"/>
        </w:rPr>
      </w:pPr>
      <w:r>
        <w:rPr>
          <w:rFonts w:hint="eastAsia"/>
          <w:lang w:eastAsia="zh-CN"/>
        </w:rPr>
        <w:tab/>
      </w:r>
    </w:p>
    <w:p w14:paraId="424E34E9">
      <w:pPr>
        <w:pStyle w:val="2"/>
        <w:rPr>
          <w:rFonts w:hint="eastAsia"/>
          <w:lang w:eastAsia="zh-CN"/>
        </w:rPr>
      </w:pPr>
    </w:p>
    <w:p w14:paraId="3E1CCCE7">
      <w:pPr>
        <w:pStyle w:val="2"/>
        <w:rPr>
          <w:rFonts w:hint="eastAsia"/>
          <w:lang w:eastAsia="zh-CN"/>
        </w:rPr>
      </w:pPr>
    </w:p>
    <w:tbl>
      <w:tblPr>
        <w:tblStyle w:val="7"/>
        <w:tblpPr w:leftFromText="180" w:rightFromText="180" w:vertAnchor="text" w:horzAnchor="page" w:tblpX="1602" w:tblpY="222"/>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56"/>
        <w:gridCol w:w="1207"/>
        <w:gridCol w:w="1116"/>
        <w:gridCol w:w="684"/>
        <w:gridCol w:w="6851"/>
        <w:gridCol w:w="1570"/>
        <w:gridCol w:w="1692"/>
        <w:gridCol w:w="598"/>
      </w:tblGrid>
      <w:tr w14:paraId="4A4BA5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trPr>
        <w:tc>
          <w:tcPr>
            <w:tcW w:w="456" w:type="dxa"/>
            <w:noWrap w:val="0"/>
            <w:vAlign w:val="center"/>
          </w:tcPr>
          <w:p w14:paraId="23FBA18F">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序号</w:t>
            </w:r>
          </w:p>
        </w:tc>
        <w:tc>
          <w:tcPr>
            <w:tcW w:w="1207" w:type="dxa"/>
            <w:noWrap w:val="0"/>
            <w:vAlign w:val="center"/>
          </w:tcPr>
          <w:p w14:paraId="2E457358">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一级指标</w:t>
            </w:r>
          </w:p>
        </w:tc>
        <w:tc>
          <w:tcPr>
            <w:tcW w:w="1116" w:type="dxa"/>
            <w:noWrap w:val="0"/>
            <w:vAlign w:val="center"/>
          </w:tcPr>
          <w:p w14:paraId="4D10D1AF">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二级指标</w:t>
            </w:r>
          </w:p>
        </w:tc>
        <w:tc>
          <w:tcPr>
            <w:tcW w:w="684" w:type="dxa"/>
            <w:noWrap w:val="0"/>
            <w:vAlign w:val="center"/>
          </w:tcPr>
          <w:p w14:paraId="0965144A">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分值</w:t>
            </w:r>
          </w:p>
        </w:tc>
        <w:tc>
          <w:tcPr>
            <w:tcW w:w="6851" w:type="dxa"/>
            <w:noWrap w:val="0"/>
            <w:vAlign w:val="center"/>
          </w:tcPr>
          <w:p w14:paraId="024903DD">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评分标准</w:t>
            </w:r>
          </w:p>
        </w:tc>
        <w:tc>
          <w:tcPr>
            <w:tcW w:w="1570" w:type="dxa"/>
            <w:tcBorders>
              <w:right w:val="single" w:color="auto" w:sz="4" w:space="0"/>
            </w:tcBorders>
            <w:noWrap w:val="0"/>
            <w:vAlign w:val="center"/>
          </w:tcPr>
          <w:p w14:paraId="4E575BC1">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评分依据</w:t>
            </w:r>
          </w:p>
        </w:tc>
        <w:tc>
          <w:tcPr>
            <w:tcW w:w="1692" w:type="dxa"/>
            <w:tcBorders>
              <w:right w:val="single" w:color="auto" w:sz="4" w:space="0"/>
            </w:tcBorders>
            <w:noWrap w:val="0"/>
            <w:vAlign w:val="center"/>
          </w:tcPr>
          <w:p w14:paraId="273030EB">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扣分及</w:t>
            </w:r>
          </w:p>
          <w:p w14:paraId="332BFBE3">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扣分原由</w:t>
            </w:r>
          </w:p>
        </w:tc>
        <w:tc>
          <w:tcPr>
            <w:tcW w:w="598" w:type="dxa"/>
            <w:tcBorders>
              <w:left w:val="single" w:color="auto" w:sz="4" w:space="0"/>
            </w:tcBorders>
            <w:noWrap w:val="0"/>
            <w:vAlign w:val="center"/>
          </w:tcPr>
          <w:p w14:paraId="59FDCA11">
            <w:pPr>
              <w:spacing w:line="300" w:lineRule="exact"/>
              <w:jc w:val="center"/>
              <w:rPr>
                <w:rFonts w:hint="default" w:ascii="Times New Roman" w:hAnsi="Times New Roman" w:eastAsia="黑体" w:cs="Times New Roman"/>
                <w:color w:val="auto"/>
                <w:sz w:val="24"/>
                <w:szCs w:val="24"/>
                <w:highlight w:val="none"/>
              </w:rPr>
            </w:pPr>
            <w:r>
              <w:rPr>
                <w:rFonts w:hint="default" w:ascii="Times New Roman" w:hAnsi="Times New Roman" w:eastAsia="黑体" w:cs="Times New Roman"/>
                <w:color w:val="auto"/>
                <w:sz w:val="24"/>
                <w:szCs w:val="24"/>
                <w:highlight w:val="none"/>
              </w:rPr>
              <w:t>得分</w:t>
            </w:r>
          </w:p>
        </w:tc>
      </w:tr>
      <w:tr w14:paraId="4E456E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30" w:hRule="atLeast"/>
        </w:trPr>
        <w:tc>
          <w:tcPr>
            <w:tcW w:w="456" w:type="dxa"/>
            <w:noWrap w:val="0"/>
            <w:vAlign w:val="center"/>
          </w:tcPr>
          <w:p w14:paraId="40416C43">
            <w:pPr>
              <w:spacing w:line="30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4</w:t>
            </w:r>
          </w:p>
        </w:tc>
        <w:tc>
          <w:tcPr>
            <w:tcW w:w="1207" w:type="dxa"/>
            <w:vMerge w:val="restart"/>
            <w:noWrap w:val="0"/>
            <w:vAlign w:val="center"/>
          </w:tcPr>
          <w:p w14:paraId="71CD64A7">
            <w:pPr>
              <w:spacing w:line="30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重点工作</w:t>
            </w:r>
          </w:p>
          <w:p w14:paraId="6CCAABD7">
            <w:pPr>
              <w:spacing w:line="30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（80分）</w:t>
            </w:r>
          </w:p>
        </w:tc>
        <w:tc>
          <w:tcPr>
            <w:tcW w:w="1116" w:type="dxa"/>
            <w:noWrap w:val="0"/>
            <w:vAlign w:val="center"/>
          </w:tcPr>
          <w:p w14:paraId="0B81F9FF">
            <w:pPr>
              <w:spacing w:line="30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农技信息化工作</w:t>
            </w:r>
          </w:p>
        </w:tc>
        <w:tc>
          <w:tcPr>
            <w:tcW w:w="684" w:type="dxa"/>
            <w:noWrap w:val="0"/>
            <w:vAlign w:val="center"/>
          </w:tcPr>
          <w:p w14:paraId="72E36646">
            <w:pPr>
              <w:spacing w:line="30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20</w:t>
            </w:r>
          </w:p>
        </w:tc>
        <w:tc>
          <w:tcPr>
            <w:tcW w:w="6851" w:type="dxa"/>
            <w:noWrap w:val="0"/>
            <w:vAlign w:val="center"/>
          </w:tcPr>
          <w:p w14:paraId="3CAB5323">
            <w:pPr>
              <w:spacing w:line="300" w:lineRule="exact"/>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1、农技人员使用中国农技推广APP比例不低于85%的得5分，每低1个百分点扣0.5分，扣完为止；</w:t>
            </w:r>
          </w:p>
          <w:p w14:paraId="03F5D566">
            <w:pPr>
              <w:spacing w:line="300" w:lineRule="exact"/>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2、农技人员使用中国农技推广APP每月报送有效日志、农情等信息人均不少于2条得5分，未到达不得分；</w:t>
            </w:r>
          </w:p>
          <w:p w14:paraId="2B20541E">
            <w:pPr>
              <w:spacing w:line="300" w:lineRule="exact"/>
              <w:rPr>
                <w:rFonts w:hint="default" w:ascii="Times New Roman" w:hAnsi="Times New Roman" w:eastAsia="宋体" w:cs="Times New Roman"/>
                <w:color w:val="auto"/>
                <w:highlight w:val="none"/>
              </w:rPr>
            </w:pPr>
            <w:r>
              <w:rPr>
                <w:rFonts w:hint="default" w:ascii="Times New Roman" w:hAnsi="Times New Roman" w:eastAsia="仿宋_GB2312" w:cs="Times New Roman"/>
                <w:color w:val="auto"/>
                <w:highlight w:val="none"/>
              </w:rPr>
              <w:t>3、农技推广任务组织实施情况在线填报、对外展示等共10分，综合考虑实施情况打分。</w:t>
            </w:r>
          </w:p>
        </w:tc>
        <w:tc>
          <w:tcPr>
            <w:tcW w:w="1570" w:type="dxa"/>
            <w:vMerge w:val="restart"/>
            <w:tcBorders>
              <w:right w:val="single" w:color="auto" w:sz="4" w:space="0"/>
            </w:tcBorders>
            <w:noWrap w:val="0"/>
            <w:vAlign w:val="center"/>
          </w:tcPr>
          <w:p w14:paraId="5B362B25">
            <w:pPr>
              <w:spacing w:line="300" w:lineRule="exact"/>
              <w:jc w:val="left"/>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依据“中国农技推广信息平台”数据与现场抽查相结合进行评分。</w:t>
            </w:r>
          </w:p>
        </w:tc>
        <w:tc>
          <w:tcPr>
            <w:tcW w:w="1692" w:type="dxa"/>
            <w:tcBorders>
              <w:right w:val="single" w:color="auto" w:sz="4" w:space="0"/>
            </w:tcBorders>
            <w:noWrap w:val="0"/>
            <w:vAlign w:val="center"/>
          </w:tcPr>
          <w:p w14:paraId="1D03BDB8">
            <w:pPr>
              <w:spacing w:line="300" w:lineRule="exact"/>
              <w:jc w:val="center"/>
              <w:rPr>
                <w:rFonts w:hint="default" w:ascii="Times New Roman" w:hAnsi="Times New Roman" w:eastAsia="仿宋_GB2312" w:cs="Times New Roman"/>
                <w:color w:val="auto"/>
                <w:highlight w:val="none"/>
              </w:rPr>
            </w:pPr>
          </w:p>
        </w:tc>
        <w:tc>
          <w:tcPr>
            <w:tcW w:w="598" w:type="dxa"/>
            <w:tcBorders>
              <w:left w:val="single" w:color="auto" w:sz="4" w:space="0"/>
            </w:tcBorders>
            <w:noWrap w:val="0"/>
            <w:vAlign w:val="center"/>
          </w:tcPr>
          <w:p w14:paraId="54CBDE73">
            <w:pPr>
              <w:spacing w:line="300" w:lineRule="exact"/>
              <w:jc w:val="center"/>
              <w:rPr>
                <w:rFonts w:hint="default" w:ascii="Times New Roman" w:hAnsi="Times New Roman" w:eastAsia="仿宋_GB2312" w:cs="Times New Roman"/>
                <w:color w:val="auto"/>
                <w:highlight w:val="none"/>
              </w:rPr>
            </w:pPr>
          </w:p>
        </w:tc>
      </w:tr>
      <w:tr w14:paraId="3DA8AF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35" w:hRule="atLeast"/>
        </w:trPr>
        <w:tc>
          <w:tcPr>
            <w:tcW w:w="456" w:type="dxa"/>
            <w:tcBorders>
              <w:bottom w:val="single" w:color="auto" w:sz="4" w:space="0"/>
            </w:tcBorders>
            <w:noWrap w:val="0"/>
            <w:vAlign w:val="center"/>
          </w:tcPr>
          <w:p w14:paraId="0AD8BDB9">
            <w:pPr>
              <w:spacing w:line="30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5</w:t>
            </w:r>
          </w:p>
        </w:tc>
        <w:tc>
          <w:tcPr>
            <w:tcW w:w="1207" w:type="dxa"/>
            <w:vMerge w:val="continue"/>
            <w:tcBorders>
              <w:bottom w:val="single" w:color="auto" w:sz="4" w:space="0"/>
            </w:tcBorders>
            <w:noWrap w:val="0"/>
            <w:vAlign w:val="center"/>
          </w:tcPr>
          <w:p w14:paraId="45BF9F88">
            <w:pPr>
              <w:spacing w:line="300" w:lineRule="exact"/>
              <w:jc w:val="center"/>
              <w:rPr>
                <w:rFonts w:hint="default" w:ascii="Times New Roman" w:hAnsi="Times New Roman" w:eastAsia="仿宋_GB2312" w:cs="Times New Roman"/>
                <w:color w:val="auto"/>
                <w:highlight w:val="none"/>
              </w:rPr>
            </w:pPr>
          </w:p>
        </w:tc>
        <w:tc>
          <w:tcPr>
            <w:tcW w:w="1116" w:type="dxa"/>
            <w:noWrap w:val="0"/>
            <w:vAlign w:val="center"/>
          </w:tcPr>
          <w:p w14:paraId="67FFBD56">
            <w:pPr>
              <w:spacing w:line="30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农技助力产业扶贫</w:t>
            </w:r>
          </w:p>
        </w:tc>
        <w:tc>
          <w:tcPr>
            <w:tcW w:w="684" w:type="dxa"/>
            <w:noWrap w:val="0"/>
            <w:vAlign w:val="center"/>
          </w:tcPr>
          <w:p w14:paraId="30C5E1CA">
            <w:pPr>
              <w:spacing w:line="30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20</w:t>
            </w:r>
          </w:p>
        </w:tc>
        <w:tc>
          <w:tcPr>
            <w:tcW w:w="6851" w:type="dxa"/>
            <w:noWrap w:val="0"/>
            <w:vAlign w:val="center"/>
          </w:tcPr>
          <w:p w14:paraId="38806800">
            <w:pPr>
              <w:spacing w:line="300" w:lineRule="exact"/>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1、农技推广服务特聘计划实施情况10分，</w:t>
            </w:r>
            <w:r>
              <w:rPr>
                <w:rFonts w:hint="eastAsia" w:ascii="Times New Roman" w:hAnsi="Times New Roman" w:eastAsia="仿宋_GB2312" w:cs="Times New Roman"/>
                <w:color w:val="auto"/>
                <w:highlight w:val="none"/>
                <w:lang w:eastAsia="zh-CN"/>
              </w:rPr>
              <w:t>（全区已经全部安排此项任务）</w:t>
            </w:r>
            <w:r>
              <w:rPr>
                <w:rFonts w:hint="default" w:ascii="Times New Roman" w:hAnsi="Times New Roman" w:eastAsia="仿宋_GB2312" w:cs="Times New Roman"/>
                <w:color w:val="auto"/>
                <w:highlight w:val="none"/>
              </w:rPr>
              <w:t>综合考虑实际情况打分；</w:t>
            </w:r>
          </w:p>
          <w:p w14:paraId="1FC52EA5">
            <w:pPr>
              <w:spacing w:line="300" w:lineRule="exact"/>
              <w:rPr>
                <w:rFonts w:hint="default" w:ascii="Times New Roman" w:hAnsi="Times New Roman" w:eastAsia="宋体" w:cs="Times New Roman"/>
                <w:color w:val="auto"/>
                <w:highlight w:val="none"/>
              </w:rPr>
            </w:pPr>
            <w:r>
              <w:rPr>
                <w:rFonts w:hint="default" w:ascii="Times New Roman" w:hAnsi="Times New Roman" w:eastAsia="仿宋_GB2312" w:cs="Times New Roman"/>
                <w:color w:val="auto"/>
                <w:highlight w:val="none"/>
              </w:rPr>
              <w:t>2、农技人员服务贫困村情况10分，综合考虑实际情况打分（农技人员指属基层全部农技人员包含特聘）</w:t>
            </w:r>
          </w:p>
        </w:tc>
        <w:tc>
          <w:tcPr>
            <w:tcW w:w="1570" w:type="dxa"/>
            <w:vMerge w:val="continue"/>
            <w:tcBorders>
              <w:right w:val="single" w:color="auto" w:sz="4" w:space="0"/>
            </w:tcBorders>
            <w:noWrap w:val="0"/>
            <w:vAlign w:val="center"/>
          </w:tcPr>
          <w:p w14:paraId="1741FA80">
            <w:pPr>
              <w:spacing w:line="300" w:lineRule="exact"/>
              <w:jc w:val="left"/>
              <w:rPr>
                <w:rFonts w:hint="default" w:ascii="Times New Roman" w:hAnsi="Times New Roman" w:eastAsia="仿宋_GB2312" w:cs="Times New Roman"/>
                <w:color w:val="auto"/>
                <w:highlight w:val="none"/>
              </w:rPr>
            </w:pPr>
          </w:p>
        </w:tc>
        <w:tc>
          <w:tcPr>
            <w:tcW w:w="1692" w:type="dxa"/>
            <w:tcBorders>
              <w:right w:val="single" w:color="auto" w:sz="4" w:space="0"/>
            </w:tcBorders>
            <w:noWrap w:val="0"/>
            <w:vAlign w:val="center"/>
          </w:tcPr>
          <w:p w14:paraId="5997E1E7">
            <w:pPr>
              <w:spacing w:line="300" w:lineRule="exact"/>
              <w:jc w:val="center"/>
              <w:rPr>
                <w:rFonts w:hint="default" w:ascii="Times New Roman" w:hAnsi="Times New Roman" w:eastAsia="仿宋_GB2312" w:cs="Times New Roman"/>
                <w:color w:val="auto"/>
                <w:highlight w:val="none"/>
              </w:rPr>
            </w:pPr>
          </w:p>
        </w:tc>
        <w:tc>
          <w:tcPr>
            <w:tcW w:w="598" w:type="dxa"/>
            <w:tcBorders>
              <w:left w:val="single" w:color="auto" w:sz="4" w:space="0"/>
            </w:tcBorders>
            <w:noWrap w:val="0"/>
            <w:vAlign w:val="center"/>
          </w:tcPr>
          <w:p w14:paraId="408E509D">
            <w:pPr>
              <w:spacing w:line="300" w:lineRule="exact"/>
              <w:jc w:val="center"/>
              <w:rPr>
                <w:rFonts w:hint="default" w:ascii="Times New Roman" w:hAnsi="Times New Roman" w:eastAsia="仿宋_GB2312" w:cs="Times New Roman"/>
                <w:color w:val="auto"/>
                <w:highlight w:val="none"/>
              </w:rPr>
            </w:pPr>
          </w:p>
        </w:tc>
      </w:tr>
      <w:tr w14:paraId="5B6D20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53" w:hRule="atLeast"/>
        </w:trPr>
        <w:tc>
          <w:tcPr>
            <w:tcW w:w="456" w:type="dxa"/>
            <w:tcBorders>
              <w:top w:val="single" w:color="auto" w:sz="4" w:space="0"/>
              <w:bottom w:val="single" w:color="auto" w:sz="4" w:space="0"/>
            </w:tcBorders>
            <w:noWrap w:val="0"/>
            <w:vAlign w:val="center"/>
          </w:tcPr>
          <w:p w14:paraId="7F07C30B">
            <w:pPr>
              <w:spacing w:line="30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6</w:t>
            </w:r>
          </w:p>
        </w:tc>
        <w:tc>
          <w:tcPr>
            <w:tcW w:w="1207" w:type="dxa"/>
            <w:tcBorders>
              <w:top w:val="single" w:color="auto" w:sz="4" w:space="0"/>
              <w:bottom w:val="single" w:color="auto" w:sz="4" w:space="0"/>
            </w:tcBorders>
            <w:noWrap w:val="0"/>
            <w:vAlign w:val="center"/>
          </w:tcPr>
          <w:p w14:paraId="005FBA5A">
            <w:pPr>
              <w:spacing w:line="30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实施效果（10分）</w:t>
            </w:r>
          </w:p>
        </w:tc>
        <w:tc>
          <w:tcPr>
            <w:tcW w:w="1116" w:type="dxa"/>
            <w:noWrap w:val="0"/>
            <w:vAlign w:val="center"/>
          </w:tcPr>
          <w:p w14:paraId="1A39EC56">
            <w:pPr>
              <w:spacing w:line="30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服务对象评价</w:t>
            </w:r>
          </w:p>
        </w:tc>
        <w:tc>
          <w:tcPr>
            <w:tcW w:w="684" w:type="dxa"/>
            <w:noWrap w:val="0"/>
            <w:vAlign w:val="center"/>
          </w:tcPr>
          <w:p w14:paraId="61CB94B4">
            <w:pPr>
              <w:spacing w:line="30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10</w:t>
            </w:r>
          </w:p>
        </w:tc>
        <w:tc>
          <w:tcPr>
            <w:tcW w:w="6851" w:type="dxa"/>
            <w:noWrap w:val="0"/>
            <w:vAlign w:val="center"/>
          </w:tcPr>
          <w:p w14:paraId="0B797583">
            <w:pPr>
              <w:spacing w:line="300" w:lineRule="exact"/>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1、农</w:t>
            </w:r>
            <w:r>
              <w:rPr>
                <w:rFonts w:hint="eastAsia" w:ascii="Times New Roman" w:hAnsi="Times New Roman" w:eastAsia="仿宋_GB2312" w:cs="Times New Roman"/>
                <w:color w:val="auto"/>
                <w:highlight w:val="none"/>
                <w:lang w:eastAsia="zh-CN"/>
              </w:rPr>
              <w:t>牧</w:t>
            </w:r>
            <w:r>
              <w:rPr>
                <w:rFonts w:hint="default" w:ascii="Times New Roman" w:hAnsi="Times New Roman" w:eastAsia="仿宋_GB2312" w:cs="Times New Roman"/>
                <w:color w:val="auto"/>
                <w:highlight w:val="none"/>
              </w:rPr>
              <w:t>业科技示范主体满意情况共3分，综合考虑实际情况打分；</w:t>
            </w:r>
          </w:p>
          <w:p w14:paraId="1178DCDD">
            <w:pPr>
              <w:spacing w:line="300" w:lineRule="exact"/>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2、农技推广服务对象满意情况共7分，综合考虑实际情况打分。</w:t>
            </w:r>
          </w:p>
        </w:tc>
        <w:tc>
          <w:tcPr>
            <w:tcW w:w="1570" w:type="dxa"/>
            <w:vMerge w:val="continue"/>
            <w:tcBorders>
              <w:right w:val="single" w:color="auto" w:sz="4" w:space="0"/>
            </w:tcBorders>
            <w:noWrap w:val="0"/>
            <w:vAlign w:val="center"/>
          </w:tcPr>
          <w:p w14:paraId="1DCD2426">
            <w:pPr>
              <w:spacing w:line="300" w:lineRule="exact"/>
              <w:jc w:val="left"/>
              <w:rPr>
                <w:rFonts w:hint="default" w:ascii="Times New Roman" w:hAnsi="Times New Roman" w:eastAsia="仿宋_GB2312" w:cs="Times New Roman"/>
                <w:color w:val="auto"/>
                <w:highlight w:val="none"/>
              </w:rPr>
            </w:pPr>
          </w:p>
        </w:tc>
        <w:tc>
          <w:tcPr>
            <w:tcW w:w="1692" w:type="dxa"/>
            <w:tcBorders>
              <w:right w:val="single" w:color="auto" w:sz="4" w:space="0"/>
            </w:tcBorders>
            <w:noWrap w:val="0"/>
            <w:vAlign w:val="center"/>
          </w:tcPr>
          <w:p w14:paraId="6DD7A789">
            <w:pPr>
              <w:spacing w:line="300" w:lineRule="exact"/>
              <w:jc w:val="center"/>
              <w:rPr>
                <w:rFonts w:hint="default" w:ascii="Times New Roman" w:hAnsi="Times New Roman" w:eastAsia="仿宋_GB2312" w:cs="Times New Roman"/>
                <w:color w:val="auto"/>
                <w:highlight w:val="none"/>
              </w:rPr>
            </w:pPr>
          </w:p>
        </w:tc>
        <w:tc>
          <w:tcPr>
            <w:tcW w:w="598" w:type="dxa"/>
            <w:tcBorders>
              <w:left w:val="single" w:color="auto" w:sz="4" w:space="0"/>
            </w:tcBorders>
            <w:noWrap w:val="0"/>
            <w:vAlign w:val="center"/>
          </w:tcPr>
          <w:p w14:paraId="36AAB66D">
            <w:pPr>
              <w:spacing w:line="300" w:lineRule="exact"/>
              <w:jc w:val="center"/>
              <w:rPr>
                <w:rFonts w:hint="default" w:ascii="Times New Roman" w:hAnsi="Times New Roman" w:eastAsia="仿宋_GB2312" w:cs="Times New Roman"/>
                <w:color w:val="auto"/>
                <w:highlight w:val="none"/>
              </w:rPr>
            </w:pPr>
          </w:p>
        </w:tc>
      </w:tr>
      <w:tr w14:paraId="6AA150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25" w:hRule="atLeast"/>
        </w:trPr>
        <w:tc>
          <w:tcPr>
            <w:tcW w:w="456" w:type="dxa"/>
            <w:tcBorders>
              <w:top w:val="single" w:color="auto" w:sz="4" w:space="0"/>
              <w:bottom w:val="single" w:color="auto" w:sz="4" w:space="0"/>
            </w:tcBorders>
            <w:noWrap w:val="0"/>
            <w:vAlign w:val="center"/>
          </w:tcPr>
          <w:p w14:paraId="3399FD46">
            <w:pPr>
              <w:spacing w:line="30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7</w:t>
            </w:r>
          </w:p>
        </w:tc>
        <w:tc>
          <w:tcPr>
            <w:tcW w:w="1207" w:type="dxa"/>
            <w:tcBorders>
              <w:top w:val="single" w:color="auto" w:sz="4" w:space="0"/>
              <w:bottom w:val="single" w:color="auto" w:sz="4" w:space="0"/>
            </w:tcBorders>
            <w:noWrap w:val="0"/>
            <w:vAlign w:val="center"/>
          </w:tcPr>
          <w:p w14:paraId="49217066">
            <w:pPr>
              <w:spacing w:line="30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日常管理（10分）</w:t>
            </w:r>
          </w:p>
        </w:tc>
        <w:tc>
          <w:tcPr>
            <w:tcW w:w="1116" w:type="dxa"/>
            <w:noWrap w:val="0"/>
            <w:vAlign w:val="center"/>
          </w:tcPr>
          <w:p w14:paraId="178C30AC">
            <w:pPr>
              <w:spacing w:line="30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日常组织管理</w:t>
            </w:r>
          </w:p>
        </w:tc>
        <w:tc>
          <w:tcPr>
            <w:tcW w:w="684" w:type="dxa"/>
            <w:noWrap w:val="0"/>
            <w:vAlign w:val="center"/>
          </w:tcPr>
          <w:p w14:paraId="2B38ABE2">
            <w:pPr>
              <w:spacing w:line="30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10</w:t>
            </w:r>
          </w:p>
        </w:tc>
        <w:tc>
          <w:tcPr>
            <w:tcW w:w="6851" w:type="dxa"/>
            <w:noWrap w:val="0"/>
            <w:vAlign w:val="center"/>
          </w:tcPr>
          <w:p w14:paraId="79D90A76">
            <w:pPr>
              <w:spacing w:line="300" w:lineRule="exact"/>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1、年内组织任务实施进展调度检查工5分，综合考虑实际情况打分；</w:t>
            </w:r>
          </w:p>
          <w:p w14:paraId="477D0889">
            <w:pPr>
              <w:spacing w:line="300" w:lineRule="exact"/>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2、及时上报有关材料情况共5分，上报不及时不得分。</w:t>
            </w:r>
          </w:p>
        </w:tc>
        <w:tc>
          <w:tcPr>
            <w:tcW w:w="1570" w:type="dxa"/>
            <w:vMerge w:val="continue"/>
            <w:tcBorders>
              <w:right w:val="single" w:color="auto" w:sz="4" w:space="0"/>
            </w:tcBorders>
            <w:noWrap w:val="0"/>
            <w:vAlign w:val="center"/>
          </w:tcPr>
          <w:p w14:paraId="1620BF91">
            <w:pPr>
              <w:spacing w:line="300" w:lineRule="exact"/>
              <w:jc w:val="left"/>
              <w:rPr>
                <w:rFonts w:hint="default" w:ascii="Times New Roman" w:hAnsi="Times New Roman" w:eastAsia="仿宋_GB2312" w:cs="Times New Roman"/>
                <w:color w:val="auto"/>
                <w:highlight w:val="none"/>
              </w:rPr>
            </w:pPr>
          </w:p>
        </w:tc>
        <w:tc>
          <w:tcPr>
            <w:tcW w:w="1692" w:type="dxa"/>
            <w:tcBorders>
              <w:right w:val="single" w:color="auto" w:sz="4" w:space="0"/>
            </w:tcBorders>
            <w:noWrap w:val="0"/>
            <w:vAlign w:val="center"/>
          </w:tcPr>
          <w:p w14:paraId="37347807">
            <w:pPr>
              <w:spacing w:line="300" w:lineRule="exact"/>
              <w:jc w:val="center"/>
              <w:rPr>
                <w:rFonts w:hint="default" w:ascii="Times New Roman" w:hAnsi="Times New Roman" w:eastAsia="仿宋_GB2312" w:cs="Times New Roman"/>
                <w:color w:val="auto"/>
                <w:highlight w:val="none"/>
              </w:rPr>
            </w:pPr>
          </w:p>
        </w:tc>
        <w:tc>
          <w:tcPr>
            <w:tcW w:w="598" w:type="dxa"/>
            <w:tcBorders>
              <w:left w:val="single" w:color="auto" w:sz="4" w:space="0"/>
            </w:tcBorders>
            <w:noWrap w:val="0"/>
            <w:vAlign w:val="center"/>
          </w:tcPr>
          <w:p w14:paraId="227BF311">
            <w:pPr>
              <w:spacing w:line="300" w:lineRule="exact"/>
              <w:jc w:val="center"/>
              <w:rPr>
                <w:rFonts w:hint="default" w:ascii="Times New Roman" w:hAnsi="Times New Roman" w:eastAsia="仿宋_GB2312" w:cs="Times New Roman"/>
                <w:color w:val="auto"/>
                <w:highlight w:val="none"/>
              </w:rPr>
            </w:pPr>
          </w:p>
        </w:tc>
      </w:tr>
      <w:tr w14:paraId="618BD6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9" w:hRule="atLeast"/>
        </w:trPr>
        <w:tc>
          <w:tcPr>
            <w:tcW w:w="2779" w:type="dxa"/>
            <w:gridSpan w:val="3"/>
            <w:tcBorders>
              <w:top w:val="single" w:color="auto" w:sz="4" w:space="0"/>
            </w:tcBorders>
            <w:noWrap w:val="0"/>
            <w:vAlign w:val="center"/>
          </w:tcPr>
          <w:p w14:paraId="37A0F8F4">
            <w:pPr>
              <w:spacing w:line="300" w:lineRule="exact"/>
              <w:jc w:val="center"/>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合计</w:t>
            </w:r>
          </w:p>
        </w:tc>
        <w:tc>
          <w:tcPr>
            <w:tcW w:w="684" w:type="dxa"/>
            <w:noWrap w:val="0"/>
            <w:vAlign w:val="center"/>
          </w:tcPr>
          <w:p w14:paraId="69416344">
            <w:pPr>
              <w:spacing w:line="300" w:lineRule="exact"/>
              <w:jc w:val="center"/>
              <w:rPr>
                <w:rFonts w:hint="default" w:ascii="Times New Roman" w:hAnsi="Times New Roman" w:eastAsia="黑体" w:cs="Times New Roman"/>
                <w:color w:val="auto"/>
                <w:highlight w:val="none"/>
              </w:rPr>
            </w:pPr>
            <w:r>
              <w:rPr>
                <w:rFonts w:hint="default" w:ascii="Times New Roman" w:hAnsi="Times New Roman" w:eastAsia="黑体" w:cs="Times New Roman"/>
                <w:color w:val="auto"/>
                <w:highlight w:val="none"/>
              </w:rPr>
              <w:t>100</w:t>
            </w:r>
          </w:p>
        </w:tc>
        <w:tc>
          <w:tcPr>
            <w:tcW w:w="6851" w:type="dxa"/>
            <w:noWrap w:val="0"/>
            <w:vAlign w:val="center"/>
          </w:tcPr>
          <w:p w14:paraId="3D48D7A6">
            <w:pPr>
              <w:spacing w:line="300" w:lineRule="exact"/>
              <w:rPr>
                <w:rFonts w:hint="default" w:ascii="Times New Roman" w:hAnsi="Times New Roman" w:eastAsia="仿宋_GB2312" w:cs="Times New Roman"/>
                <w:color w:val="auto"/>
                <w:highlight w:val="none"/>
              </w:rPr>
            </w:pPr>
          </w:p>
        </w:tc>
        <w:tc>
          <w:tcPr>
            <w:tcW w:w="1570" w:type="dxa"/>
            <w:tcBorders>
              <w:right w:val="single" w:color="auto" w:sz="4" w:space="0"/>
            </w:tcBorders>
            <w:noWrap w:val="0"/>
            <w:vAlign w:val="center"/>
          </w:tcPr>
          <w:p w14:paraId="6B65F510">
            <w:pPr>
              <w:spacing w:line="300" w:lineRule="exact"/>
              <w:jc w:val="left"/>
              <w:rPr>
                <w:rFonts w:hint="default" w:ascii="Times New Roman" w:hAnsi="Times New Roman" w:eastAsia="仿宋_GB2312" w:cs="Times New Roman"/>
                <w:color w:val="auto"/>
                <w:highlight w:val="none"/>
              </w:rPr>
            </w:pPr>
          </w:p>
        </w:tc>
        <w:tc>
          <w:tcPr>
            <w:tcW w:w="1692" w:type="dxa"/>
            <w:tcBorders>
              <w:right w:val="single" w:color="auto" w:sz="4" w:space="0"/>
            </w:tcBorders>
            <w:noWrap w:val="0"/>
            <w:vAlign w:val="center"/>
          </w:tcPr>
          <w:p w14:paraId="1FCBDA6E">
            <w:pPr>
              <w:spacing w:line="300" w:lineRule="exact"/>
              <w:jc w:val="center"/>
              <w:rPr>
                <w:rFonts w:hint="default" w:ascii="Times New Roman" w:hAnsi="Times New Roman" w:eastAsia="仿宋_GB2312" w:cs="Times New Roman"/>
                <w:color w:val="auto"/>
                <w:highlight w:val="none"/>
              </w:rPr>
            </w:pPr>
          </w:p>
        </w:tc>
        <w:tc>
          <w:tcPr>
            <w:tcW w:w="598" w:type="dxa"/>
            <w:tcBorders>
              <w:left w:val="single" w:color="auto" w:sz="4" w:space="0"/>
            </w:tcBorders>
            <w:noWrap w:val="0"/>
            <w:vAlign w:val="center"/>
          </w:tcPr>
          <w:p w14:paraId="49A88DC4">
            <w:pPr>
              <w:spacing w:line="300" w:lineRule="exact"/>
              <w:jc w:val="center"/>
              <w:rPr>
                <w:rFonts w:hint="default" w:ascii="Times New Roman" w:hAnsi="Times New Roman" w:eastAsia="仿宋_GB2312" w:cs="Times New Roman"/>
                <w:color w:val="auto"/>
                <w:highlight w:val="none"/>
              </w:rPr>
            </w:pPr>
          </w:p>
        </w:tc>
      </w:tr>
    </w:tbl>
    <w:p w14:paraId="7F2D9CCA">
      <w:pPr>
        <w:pStyle w:val="2"/>
        <w:rPr>
          <w:rFonts w:hint="eastAsia"/>
          <w:lang w:eastAsia="zh-CN"/>
        </w:rPr>
      </w:pPr>
    </w:p>
    <w:p w14:paraId="7B6DA254">
      <w:pPr>
        <w:pStyle w:val="2"/>
        <w:jc w:val="both"/>
        <w:rPr>
          <w:rFonts w:hint="eastAsia" w:ascii="黑体" w:hAnsi="黑体" w:eastAsia="黑体" w:cs="黑体"/>
          <w:b w:val="0"/>
          <w:bCs w:val="0"/>
          <w:lang w:val="en-US" w:eastAsia="zh-CN"/>
        </w:rPr>
      </w:pPr>
    </w:p>
    <w:sectPr>
      <w:pgSz w:w="16838" w:h="11906" w:orient="landscape"/>
      <w:pgMar w:top="680" w:right="851" w:bottom="680" w:left="851" w:header="851" w:footer="992" w:gutter="0"/>
      <w:pgNumType w:fmt="numberInDash"/>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9579CC">
    <w:pPr>
      <w:pStyle w:val="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C707A11">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7</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JL6ScgBAACZ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8cQ9aErS5TrQbg7Jmyi9JYrjLBTYZxYYTdtV16JP+8l6+mP2v4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SS+knIAQAAmQMAAA4AAAAAAAAAAQAgAAAAHgEAAGRycy9lMm9Eb2Mu&#10;eG1sUEsFBgAAAAAGAAYAWQEAAFgFAAAAAA==&#10;">
              <v:fill on="f" focussize="0,0"/>
              <v:stroke on="f"/>
              <v:imagedata o:title=""/>
              <o:lock v:ext="edit" aspectratio="f"/>
              <v:textbox inset="0mm,0mm,0mm,0mm" style="mso-fit-shape-to-text:t;">
                <w:txbxContent>
                  <w:p w14:paraId="3C707A11">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7</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4753B2">
    <w:pPr>
      <w:pStyle w:val="4"/>
      <w:jc w:val="right"/>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9CD189">
                          <w:pPr>
                            <w:pStyle w:val="4"/>
                            <w:rPr>
                              <w:rFonts w:hint="default" w:ascii="Times New Roman" w:hAnsi="Times New Roman" w:cs="Times New Roman"/>
                              <w:sz w:val="28"/>
                              <w:szCs w:val="28"/>
                            </w:rPr>
                          </w:pP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- 21 -</w:t>
                          </w:r>
                          <w:r>
                            <w:rPr>
                              <w:rFonts w:hint="default" w:ascii="Times New Roman" w:hAnsi="Times New Roman" w:cs="Times New Roman"/>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29CD189">
                    <w:pPr>
                      <w:pStyle w:val="4"/>
                      <w:rPr>
                        <w:rFonts w:hint="default" w:ascii="Times New Roman" w:hAnsi="Times New Roman" w:cs="Times New Roman"/>
                        <w:sz w:val="28"/>
                        <w:szCs w:val="28"/>
                      </w:rPr>
                    </w:pP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- 21 -</w:t>
                    </w:r>
                    <w:r>
                      <w:rPr>
                        <w:rFonts w:hint="default" w:ascii="Times New Roman" w:hAnsi="Times New Roman" w:cs="Times New Roman"/>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7EBD0F">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VjZWNiZWU4ZWNjN2QyNzBkYzhmY2E3YTQ1NDk4NjEifQ=="/>
  </w:docVars>
  <w:rsids>
    <w:rsidRoot w:val="37412BF1"/>
    <w:rsid w:val="00986007"/>
    <w:rsid w:val="026D3244"/>
    <w:rsid w:val="03FB03BA"/>
    <w:rsid w:val="04074FB1"/>
    <w:rsid w:val="040F3E66"/>
    <w:rsid w:val="060B35B5"/>
    <w:rsid w:val="064C75F3"/>
    <w:rsid w:val="06936FD0"/>
    <w:rsid w:val="075A73A0"/>
    <w:rsid w:val="085E740E"/>
    <w:rsid w:val="08B5322E"/>
    <w:rsid w:val="090B0BB9"/>
    <w:rsid w:val="09104908"/>
    <w:rsid w:val="0A326527"/>
    <w:rsid w:val="0BCB3B8B"/>
    <w:rsid w:val="0BEA522D"/>
    <w:rsid w:val="0C216E2C"/>
    <w:rsid w:val="0CBB4B8B"/>
    <w:rsid w:val="0D436541"/>
    <w:rsid w:val="0DD108C8"/>
    <w:rsid w:val="0DE87C01"/>
    <w:rsid w:val="0F3E5C10"/>
    <w:rsid w:val="0F803E6A"/>
    <w:rsid w:val="0FA83B24"/>
    <w:rsid w:val="0FB07977"/>
    <w:rsid w:val="0FBD5314"/>
    <w:rsid w:val="113D185A"/>
    <w:rsid w:val="117D2700"/>
    <w:rsid w:val="117D2D56"/>
    <w:rsid w:val="11D37C2D"/>
    <w:rsid w:val="13113756"/>
    <w:rsid w:val="13DD188A"/>
    <w:rsid w:val="13F13CC6"/>
    <w:rsid w:val="148B578A"/>
    <w:rsid w:val="15052509"/>
    <w:rsid w:val="1528122B"/>
    <w:rsid w:val="157955E3"/>
    <w:rsid w:val="157D0874"/>
    <w:rsid w:val="15AB1227"/>
    <w:rsid w:val="16CB6D9F"/>
    <w:rsid w:val="1726591C"/>
    <w:rsid w:val="17B40B54"/>
    <w:rsid w:val="17F06CEA"/>
    <w:rsid w:val="18090EA0"/>
    <w:rsid w:val="18772278"/>
    <w:rsid w:val="19406B43"/>
    <w:rsid w:val="19AA0461"/>
    <w:rsid w:val="1A1043FA"/>
    <w:rsid w:val="1A6525DA"/>
    <w:rsid w:val="1AB5530F"/>
    <w:rsid w:val="1B6C5A88"/>
    <w:rsid w:val="1BE240CC"/>
    <w:rsid w:val="1D0D796C"/>
    <w:rsid w:val="1DA33B45"/>
    <w:rsid w:val="1E312EFF"/>
    <w:rsid w:val="1E9B5B25"/>
    <w:rsid w:val="1FC01B8F"/>
    <w:rsid w:val="20337402"/>
    <w:rsid w:val="216435F4"/>
    <w:rsid w:val="217D46AD"/>
    <w:rsid w:val="22744AFA"/>
    <w:rsid w:val="2287505A"/>
    <w:rsid w:val="25225E03"/>
    <w:rsid w:val="25EB2B8B"/>
    <w:rsid w:val="26243349"/>
    <w:rsid w:val="28C72DDD"/>
    <w:rsid w:val="2940049A"/>
    <w:rsid w:val="294721C9"/>
    <w:rsid w:val="2A2B739C"/>
    <w:rsid w:val="2A786CD8"/>
    <w:rsid w:val="2AD6555A"/>
    <w:rsid w:val="2B2A11FE"/>
    <w:rsid w:val="2C18031A"/>
    <w:rsid w:val="2C324A12"/>
    <w:rsid w:val="2CB405CE"/>
    <w:rsid w:val="2D177764"/>
    <w:rsid w:val="2D7740A4"/>
    <w:rsid w:val="2DC7118A"/>
    <w:rsid w:val="2E3E49C6"/>
    <w:rsid w:val="2E4B1DBB"/>
    <w:rsid w:val="2E786539"/>
    <w:rsid w:val="2EC15BD9"/>
    <w:rsid w:val="2EC53D13"/>
    <w:rsid w:val="2F68074A"/>
    <w:rsid w:val="2F82186F"/>
    <w:rsid w:val="30503789"/>
    <w:rsid w:val="30A21A3A"/>
    <w:rsid w:val="325D20BC"/>
    <w:rsid w:val="332538BE"/>
    <w:rsid w:val="33833DA5"/>
    <w:rsid w:val="338359C9"/>
    <w:rsid w:val="339B5E39"/>
    <w:rsid w:val="34293C06"/>
    <w:rsid w:val="35720DAE"/>
    <w:rsid w:val="367F5E73"/>
    <w:rsid w:val="37412BF1"/>
    <w:rsid w:val="38904AB5"/>
    <w:rsid w:val="396401D4"/>
    <w:rsid w:val="39BF6117"/>
    <w:rsid w:val="3A0B630F"/>
    <w:rsid w:val="3B784895"/>
    <w:rsid w:val="3BC072C5"/>
    <w:rsid w:val="3D3566C6"/>
    <w:rsid w:val="3E613867"/>
    <w:rsid w:val="3EF1250A"/>
    <w:rsid w:val="3FE16591"/>
    <w:rsid w:val="41314E40"/>
    <w:rsid w:val="41472B60"/>
    <w:rsid w:val="42E40ACD"/>
    <w:rsid w:val="42E85775"/>
    <w:rsid w:val="432B3260"/>
    <w:rsid w:val="46DC0125"/>
    <w:rsid w:val="4812529F"/>
    <w:rsid w:val="485F3CCA"/>
    <w:rsid w:val="48D6451F"/>
    <w:rsid w:val="48FB5D34"/>
    <w:rsid w:val="49D942C7"/>
    <w:rsid w:val="4C3313A1"/>
    <w:rsid w:val="4D24116D"/>
    <w:rsid w:val="4E467A51"/>
    <w:rsid w:val="4E4712D2"/>
    <w:rsid w:val="4EDF237F"/>
    <w:rsid w:val="50DD28EE"/>
    <w:rsid w:val="51063CEB"/>
    <w:rsid w:val="517C7D3C"/>
    <w:rsid w:val="52536E48"/>
    <w:rsid w:val="53305F83"/>
    <w:rsid w:val="535B7AFB"/>
    <w:rsid w:val="53755060"/>
    <w:rsid w:val="54C0055D"/>
    <w:rsid w:val="54F226E1"/>
    <w:rsid w:val="553A6232"/>
    <w:rsid w:val="55E14425"/>
    <w:rsid w:val="56DF0A43"/>
    <w:rsid w:val="57044CE4"/>
    <w:rsid w:val="570D1F30"/>
    <w:rsid w:val="58C0702C"/>
    <w:rsid w:val="5BE74621"/>
    <w:rsid w:val="5D267018"/>
    <w:rsid w:val="5D5A27C6"/>
    <w:rsid w:val="5E370D27"/>
    <w:rsid w:val="5F7563E8"/>
    <w:rsid w:val="6065645C"/>
    <w:rsid w:val="60C74A21"/>
    <w:rsid w:val="60C765DC"/>
    <w:rsid w:val="61424159"/>
    <w:rsid w:val="616E578F"/>
    <w:rsid w:val="623E51B7"/>
    <w:rsid w:val="632F62F8"/>
    <w:rsid w:val="63E31B72"/>
    <w:rsid w:val="63FD075A"/>
    <w:rsid w:val="63FE252C"/>
    <w:rsid w:val="6486074F"/>
    <w:rsid w:val="65815AE7"/>
    <w:rsid w:val="682C6F1B"/>
    <w:rsid w:val="683706DE"/>
    <w:rsid w:val="68D75C06"/>
    <w:rsid w:val="68FC5484"/>
    <w:rsid w:val="69182864"/>
    <w:rsid w:val="69510814"/>
    <w:rsid w:val="695A2ADD"/>
    <w:rsid w:val="69CF0D42"/>
    <w:rsid w:val="6A731776"/>
    <w:rsid w:val="6AD40467"/>
    <w:rsid w:val="6AF44665"/>
    <w:rsid w:val="6B4424E4"/>
    <w:rsid w:val="6BEF6B4C"/>
    <w:rsid w:val="6D5451DF"/>
    <w:rsid w:val="6D7B6661"/>
    <w:rsid w:val="6DDD3AD6"/>
    <w:rsid w:val="6EB8009F"/>
    <w:rsid w:val="6EF235B1"/>
    <w:rsid w:val="6F2A044B"/>
    <w:rsid w:val="70E46F2A"/>
    <w:rsid w:val="71DB20DB"/>
    <w:rsid w:val="72290BF1"/>
    <w:rsid w:val="72AD735C"/>
    <w:rsid w:val="72B172DF"/>
    <w:rsid w:val="73614861"/>
    <w:rsid w:val="739C7127"/>
    <w:rsid w:val="767A198D"/>
    <w:rsid w:val="77800851"/>
    <w:rsid w:val="780416F4"/>
    <w:rsid w:val="78A6563D"/>
    <w:rsid w:val="795804B5"/>
    <w:rsid w:val="7AD322A6"/>
    <w:rsid w:val="7BBB3B91"/>
    <w:rsid w:val="7BF94BC0"/>
    <w:rsid w:val="7C1E59E5"/>
    <w:rsid w:val="7C372603"/>
    <w:rsid w:val="7C6F7FEF"/>
    <w:rsid w:val="7C912B6B"/>
    <w:rsid w:val="7D783018"/>
    <w:rsid w:val="7E431733"/>
    <w:rsid w:val="7F15031C"/>
    <w:rsid w:val="7FFA22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0"/>
    <w:pPr>
      <w:spacing w:before="240" w:after="60"/>
      <w:jc w:val="center"/>
      <w:outlineLvl w:val="0"/>
    </w:pPr>
    <w:rPr>
      <w:rFonts w:ascii="Cambria" w:hAnsi="Cambria"/>
      <w:b/>
      <w:bCs/>
      <w:sz w:val="32"/>
      <w:szCs w:val="32"/>
    </w:rPr>
  </w:style>
  <w:style w:type="paragraph" w:styleId="3">
    <w:name w:val="Plain Text"/>
    <w:basedOn w:val="1"/>
    <w:qFormat/>
    <w:uiPriority w:val="0"/>
    <w:rPr>
      <w:rFonts w:ascii="宋体" w:hAnsi="Courier New"/>
      <w:szCs w:val="20"/>
    </w:rPr>
  </w:style>
  <w:style w:type="paragraph" w:styleId="4">
    <w:name w:val="footer"/>
    <w:basedOn w:val="1"/>
    <w:unhideWhenUsed/>
    <w:qFormat/>
    <w:uiPriority w:val="99"/>
    <w:pPr>
      <w:tabs>
        <w:tab w:val="center" w:pos="4153"/>
        <w:tab w:val="right" w:pos="8306"/>
      </w:tabs>
      <w:snapToGrid w:val="0"/>
      <w:jc w:val="left"/>
    </w:pPr>
    <w:rPr>
      <w:sz w:val="18"/>
      <w:szCs w:val="18"/>
    </w:rPr>
  </w:style>
  <w:style w:type="paragraph" w:styleId="5">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0">
    <w:name w:val="Table Text"/>
    <w:basedOn w:val="1"/>
    <w:semiHidden/>
    <w:qFormat/>
    <w:uiPriority w:val="0"/>
    <w:rPr>
      <w:rFonts w:ascii="宋体" w:hAnsi="宋体" w:eastAsia="宋体" w:cs="宋体"/>
      <w:sz w:val="16"/>
      <w:szCs w:val="16"/>
      <w:lang w:val="en-US" w:eastAsia="en-US" w:bidi="ar-SA"/>
    </w:rPr>
  </w:style>
  <w:style w:type="table" w:customStyle="1" w:styleId="11">
    <w:name w:val="Table Normal"/>
    <w:semiHidden/>
    <w:unhideWhenUsed/>
    <w:qFormat/>
    <w:uiPriority w:val="0"/>
    <w:tblPr>
      <w:tblCellMar>
        <w:top w:w="0" w:type="dxa"/>
        <w:left w:w="0" w:type="dxa"/>
        <w:bottom w:w="0" w:type="dxa"/>
        <w:right w:w="0" w:type="dxa"/>
      </w:tblCellMar>
    </w:tblPr>
  </w:style>
  <w:style w:type="character" w:customStyle="1" w:styleId="12">
    <w:name w:val="font01"/>
    <w:basedOn w:val="9"/>
    <w:qFormat/>
    <w:uiPriority w:val="0"/>
    <w:rPr>
      <w:rFonts w:hint="eastAsia" w:ascii="宋体" w:hAnsi="宋体" w:eastAsia="宋体" w:cs="宋体"/>
      <w:color w:val="000000"/>
      <w:sz w:val="22"/>
      <w:szCs w:val="22"/>
      <w:u w:val="none"/>
    </w:rPr>
  </w:style>
  <w:style w:type="character" w:customStyle="1" w:styleId="13">
    <w:name w:val="font21"/>
    <w:basedOn w:val="9"/>
    <w:qFormat/>
    <w:uiPriority w:val="0"/>
    <w:rPr>
      <w:rFonts w:hint="eastAsia" w:ascii="宋体" w:hAnsi="宋体" w:eastAsia="宋体" w:cs="宋体"/>
      <w:color w:val="000000"/>
      <w:sz w:val="44"/>
      <w:szCs w:val="44"/>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8121</Words>
  <Characters>8501</Characters>
  <Lines>0</Lines>
  <Paragraphs>0</Paragraphs>
  <TotalTime>9</TotalTime>
  <ScaleCrop>false</ScaleCrop>
  <LinksUpToDate>false</LinksUpToDate>
  <CharactersWithSpaces>8678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2022-07-12T07:05:00Z</dcterms:created>
  <dc:creator>Administrator</dc:creator>
  <cp:lastModifiedBy>дэлгэр</cp:lastModifiedBy>
  <cp:lastPrinted>2024-10-23T00:59:00Z</cp:lastPrinted>
  <dcterms:modified xsi:type="dcterms:W3CDTF">2024-12-18T07:42:58Z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61983CB521E446248A9A810161303B22_13</vt:lpwstr>
  </property>
</Properties>
</file>