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3ADD4">
      <w:pPr>
        <w:rPr>
          <w:rFonts w:hint="eastAsia"/>
          <w:b/>
          <w:bCs/>
          <w:sz w:val="44"/>
          <w:szCs w:val="44"/>
          <w:lang w:eastAsia="zh-CN"/>
        </w:rPr>
      </w:pPr>
    </w:p>
    <w:p w14:paraId="092EE6A2">
      <w:pPr>
        <w:rPr>
          <w:rFonts w:hint="eastAsia" w:eastAsiaTheme="minorEastAsia"/>
          <w:sz w:val="44"/>
          <w:szCs w:val="44"/>
          <w:lang w:eastAsia="zh-CN"/>
        </w:rPr>
      </w:pPr>
      <w:r>
        <w:rPr>
          <w:rFonts w:hint="eastAsia"/>
          <w:b/>
          <w:bCs/>
          <w:sz w:val="44"/>
          <w:szCs w:val="44"/>
          <w:lang w:eastAsia="zh-CN"/>
        </w:rPr>
        <w:t>奈曼旗市场监督管理局关于对奈曼旗大镇兴旺家超市行政处罚的公示</w:t>
      </w:r>
    </w:p>
    <w:p w14:paraId="1F7C0211">
      <w:pPr>
        <w:rPr>
          <w:sz w:val="44"/>
          <w:szCs w:val="44"/>
        </w:rPr>
      </w:pPr>
    </w:p>
    <w:p w14:paraId="76A3C7D2">
      <w:pPr>
        <w:rPr>
          <w:sz w:val="44"/>
          <w:szCs w:val="44"/>
        </w:rPr>
      </w:pP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471"/>
        <w:gridCol w:w="6015"/>
      </w:tblGrid>
      <w:tr w14:paraId="4427F1F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5" w:hRule="atLeast"/>
          <w:jc w:val="center"/>
        </w:trPr>
        <w:tc>
          <w:tcPr>
            <w:tcW w:w="2471" w:type="dxa"/>
            <w:tcBorders>
              <w:top w:val="single" w:color="auto" w:sz="6" w:space="0"/>
              <w:left w:val="single" w:color="auto" w:sz="6" w:space="0"/>
              <w:bottom w:val="single" w:color="auto" w:sz="6" w:space="0"/>
              <w:right w:val="single" w:color="auto" w:sz="6" w:space="0"/>
            </w:tcBorders>
            <w:shd w:val="clear" w:color="auto" w:fill="auto"/>
            <w:tcMar>
              <w:left w:w="90" w:type="dxa"/>
              <w:right w:w="90" w:type="dxa"/>
            </w:tcMar>
            <w:vAlign w:val="center"/>
          </w:tcPr>
          <w:p w14:paraId="57A4FA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Style w:val="6"/>
                <w:rFonts w:hint="eastAsia" w:ascii="宋体" w:hAnsi="宋体" w:eastAsia="宋体" w:cs="宋体"/>
                <w:sz w:val="24"/>
                <w:szCs w:val="24"/>
              </w:rPr>
            </w:pPr>
            <w:r>
              <w:rPr>
                <w:rStyle w:val="6"/>
                <w:rFonts w:hint="eastAsia" w:ascii="宋体" w:hAnsi="宋体" w:eastAsia="宋体" w:cs="宋体"/>
                <w:sz w:val="24"/>
                <w:szCs w:val="24"/>
                <w:lang w:eastAsia="zh-CN"/>
              </w:rPr>
              <w:t>执法</w:t>
            </w:r>
            <w:r>
              <w:rPr>
                <w:rStyle w:val="6"/>
                <w:rFonts w:hint="eastAsia" w:ascii="宋体" w:hAnsi="宋体" w:eastAsia="宋体" w:cs="宋体"/>
                <w:sz w:val="24"/>
                <w:szCs w:val="24"/>
              </w:rPr>
              <w:t>机关：</w:t>
            </w:r>
          </w:p>
        </w:tc>
        <w:tc>
          <w:tcPr>
            <w:tcW w:w="6015" w:type="dxa"/>
            <w:tcBorders>
              <w:top w:val="single" w:color="auto" w:sz="6" w:space="0"/>
              <w:left w:val="nil"/>
              <w:bottom w:val="single" w:color="auto" w:sz="6" w:space="0"/>
              <w:right w:val="single" w:color="auto" w:sz="6" w:space="0"/>
            </w:tcBorders>
            <w:shd w:val="clear" w:color="auto" w:fill="auto"/>
            <w:tcMar>
              <w:left w:w="90" w:type="dxa"/>
              <w:right w:w="90" w:type="dxa"/>
            </w:tcMar>
            <w:vAlign w:val="center"/>
          </w:tcPr>
          <w:p w14:paraId="764A688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both"/>
              <w:rPr>
                <w:rFonts w:hint="eastAsia" w:ascii="宋体" w:hAnsi="宋体" w:eastAsia="宋体" w:cs="宋体"/>
                <w:sz w:val="24"/>
                <w:szCs w:val="24"/>
              </w:rPr>
            </w:pPr>
            <w:r>
              <w:rPr>
                <w:rFonts w:hint="eastAsia" w:ascii="宋体" w:hAnsi="宋体" w:eastAsia="宋体" w:cs="宋体"/>
                <w:sz w:val="24"/>
                <w:szCs w:val="24"/>
              </w:rPr>
              <w:t>奈曼旗</w:t>
            </w:r>
            <w:r>
              <w:rPr>
                <w:rFonts w:hint="eastAsia" w:ascii="宋体" w:hAnsi="宋体" w:eastAsia="宋体" w:cs="宋体"/>
                <w:sz w:val="24"/>
                <w:szCs w:val="24"/>
                <w:lang w:val="en-US" w:eastAsia="zh-CN"/>
              </w:rPr>
              <w:t>市场监督管理局</w:t>
            </w:r>
          </w:p>
        </w:tc>
      </w:tr>
      <w:tr w14:paraId="525F7D8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2471" w:type="dxa"/>
            <w:tcBorders>
              <w:top w:val="single" w:color="auto" w:sz="6" w:space="0"/>
              <w:left w:val="single" w:color="auto" w:sz="6" w:space="0"/>
              <w:bottom w:val="single" w:color="auto" w:sz="6" w:space="0"/>
              <w:right w:val="single" w:color="auto" w:sz="6" w:space="0"/>
            </w:tcBorders>
            <w:shd w:val="clear" w:color="auto" w:fill="auto"/>
            <w:tcMar>
              <w:left w:w="90" w:type="dxa"/>
              <w:right w:w="90" w:type="dxa"/>
            </w:tcMar>
            <w:vAlign w:val="center"/>
          </w:tcPr>
          <w:p w14:paraId="63BB9F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sz w:val="24"/>
                <w:szCs w:val="24"/>
              </w:rPr>
              <w:t>行政相对人名称：</w:t>
            </w:r>
          </w:p>
        </w:tc>
        <w:tc>
          <w:tcPr>
            <w:tcW w:w="6015" w:type="dxa"/>
            <w:tcBorders>
              <w:top w:val="single" w:color="auto" w:sz="6" w:space="0"/>
              <w:left w:val="nil"/>
              <w:bottom w:val="single" w:color="auto" w:sz="6" w:space="0"/>
              <w:right w:val="single" w:color="auto" w:sz="6" w:space="0"/>
            </w:tcBorders>
            <w:shd w:val="clear" w:color="auto" w:fill="auto"/>
            <w:tcMar>
              <w:left w:w="90" w:type="dxa"/>
              <w:right w:w="90" w:type="dxa"/>
            </w:tcMar>
            <w:vAlign w:val="center"/>
          </w:tcPr>
          <w:p w14:paraId="66F1B10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eastAsia="宋体"/>
                <w:lang w:val="en-US" w:eastAsia="zh-CN"/>
              </w:rPr>
            </w:pPr>
            <w:r>
              <w:rPr>
                <w:rFonts w:hint="eastAsia" w:ascii="宋体" w:hAnsi="宋体" w:eastAsia="宋体" w:cs="宋体"/>
                <w:b w:val="0"/>
                <w:bCs w:val="0"/>
                <w:sz w:val="24"/>
                <w:szCs w:val="24"/>
                <w:lang w:val="en-US" w:eastAsia="zh-CN"/>
              </w:rPr>
              <w:t>奈曼旗大镇兴旺家超市</w:t>
            </w:r>
          </w:p>
        </w:tc>
      </w:tr>
      <w:tr w14:paraId="00F5F36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2471" w:type="dxa"/>
            <w:tcBorders>
              <w:top w:val="single" w:color="auto" w:sz="6" w:space="0"/>
              <w:left w:val="single" w:color="auto" w:sz="6" w:space="0"/>
              <w:bottom w:val="single" w:color="auto" w:sz="6" w:space="0"/>
              <w:right w:val="single" w:color="auto" w:sz="6" w:space="0"/>
            </w:tcBorders>
            <w:shd w:val="clear" w:color="auto" w:fill="auto"/>
            <w:tcMar>
              <w:left w:w="90" w:type="dxa"/>
              <w:right w:w="90" w:type="dxa"/>
            </w:tcMar>
            <w:vAlign w:val="center"/>
          </w:tcPr>
          <w:p w14:paraId="33C6E1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6"/>
                <w:rFonts w:hint="eastAsia" w:ascii="宋体" w:hAnsi="宋体" w:eastAsia="宋体" w:cs="宋体"/>
                <w:sz w:val="24"/>
                <w:szCs w:val="24"/>
              </w:rPr>
            </w:pPr>
            <w:r>
              <w:rPr>
                <w:rStyle w:val="6"/>
                <w:rFonts w:hint="eastAsia" w:ascii="宋体" w:hAnsi="宋体" w:eastAsia="宋体" w:cs="宋体"/>
                <w:i w:val="0"/>
                <w:iCs w:val="0"/>
                <w:caps w:val="0"/>
                <w:color w:val="333333"/>
                <w:spacing w:val="0"/>
                <w:sz w:val="24"/>
                <w:szCs w:val="24"/>
                <w:shd w:val="clear" w:fill="FFFFFF"/>
                <w:lang w:eastAsia="zh-CN"/>
              </w:rPr>
              <w:t>社会统一信用代码</w:t>
            </w:r>
          </w:p>
        </w:tc>
        <w:tc>
          <w:tcPr>
            <w:tcW w:w="6015" w:type="dxa"/>
            <w:tcBorders>
              <w:top w:val="single" w:color="auto" w:sz="6" w:space="0"/>
              <w:left w:val="nil"/>
              <w:bottom w:val="single" w:color="auto" w:sz="6" w:space="0"/>
              <w:right w:val="single" w:color="auto" w:sz="6" w:space="0"/>
            </w:tcBorders>
            <w:shd w:val="clear" w:color="auto" w:fill="auto"/>
            <w:tcMar>
              <w:left w:w="90" w:type="dxa"/>
              <w:right w:w="90" w:type="dxa"/>
            </w:tcMar>
            <w:vAlign w:val="center"/>
          </w:tcPr>
          <w:p w14:paraId="77637F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sz w:val="24"/>
                <w:szCs w:val="24"/>
                <w:lang w:val="en-US" w:eastAsia="zh-CN"/>
              </w:rPr>
              <w:t>92150525MA0PU55M9E</w:t>
            </w:r>
          </w:p>
        </w:tc>
      </w:tr>
      <w:tr w14:paraId="6D83456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2471" w:type="dxa"/>
            <w:tcBorders>
              <w:top w:val="nil"/>
              <w:left w:val="single" w:color="auto" w:sz="6" w:space="0"/>
              <w:bottom w:val="single" w:color="auto" w:sz="6" w:space="0"/>
              <w:right w:val="single" w:color="auto" w:sz="6" w:space="0"/>
            </w:tcBorders>
            <w:shd w:val="clear" w:color="auto" w:fill="auto"/>
            <w:tcMar>
              <w:left w:w="90" w:type="dxa"/>
              <w:right w:w="90" w:type="dxa"/>
            </w:tcMar>
            <w:vAlign w:val="center"/>
          </w:tcPr>
          <w:p w14:paraId="5F98D4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sz w:val="24"/>
                <w:szCs w:val="24"/>
              </w:rPr>
              <w:t>法定代表人姓名：</w:t>
            </w:r>
          </w:p>
        </w:tc>
        <w:tc>
          <w:tcPr>
            <w:tcW w:w="6015" w:type="dxa"/>
            <w:tcBorders>
              <w:top w:val="nil"/>
              <w:left w:val="nil"/>
              <w:bottom w:val="single" w:color="auto" w:sz="6" w:space="0"/>
              <w:right w:val="single" w:color="auto" w:sz="6" w:space="0"/>
            </w:tcBorders>
            <w:shd w:val="clear" w:color="auto" w:fill="auto"/>
            <w:tcMar>
              <w:left w:w="90" w:type="dxa"/>
              <w:right w:w="90" w:type="dxa"/>
            </w:tcMar>
            <w:vAlign w:val="center"/>
          </w:tcPr>
          <w:p w14:paraId="01EFC8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eastAsiaTheme="minorEastAsia"/>
                <w:lang w:eastAsia="zh-CN"/>
              </w:rPr>
            </w:pPr>
            <w:r>
              <w:rPr>
                <w:rFonts w:hint="eastAsia" w:ascii="宋体" w:hAnsi="宋体" w:eastAsia="宋体" w:cs="宋体"/>
                <w:b w:val="0"/>
                <w:bCs w:val="0"/>
                <w:color w:val="221E1F"/>
                <w:sz w:val="24"/>
                <w:szCs w:val="24"/>
                <w:u w:val="none"/>
                <w:lang w:val="en-US" w:eastAsia="zh-CN"/>
              </w:rPr>
              <w:t>宿桂珠</w:t>
            </w:r>
          </w:p>
        </w:tc>
      </w:tr>
      <w:tr w14:paraId="5316FEA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2471" w:type="dxa"/>
            <w:tcBorders>
              <w:top w:val="nil"/>
              <w:left w:val="single" w:color="auto" w:sz="6" w:space="0"/>
              <w:bottom w:val="single" w:color="auto" w:sz="6" w:space="0"/>
              <w:right w:val="single" w:color="auto" w:sz="6" w:space="0"/>
            </w:tcBorders>
            <w:shd w:val="clear" w:color="auto" w:fill="auto"/>
            <w:tcMar>
              <w:left w:w="90" w:type="dxa"/>
              <w:right w:w="90" w:type="dxa"/>
            </w:tcMar>
            <w:vAlign w:val="center"/>
          </w:tcPr>
          <w:p w14:paraId="429DCF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sz w:val="24"/>
                <w:szCs w:val="24"/>
                <w:lang w:eastAsia="zh-CN"/>
              </w:rPr>
              <w:t>权力</w:t>
            </w:r>
            <w:r>
              <w:rPr>
                <w:rStyle w:val="6"/>
                <w:rFonts w:hint="eastAsia" w:ascii="宋体" w:hAnsi="宋体" w:eastAsia="宋体" w:cs="宋体"/>
                <w:sz w:val="24"/>
                <w:szCs w:val="24"/>
              </w:rPr>
              <w:t>类别：</w:t>
            </w:r>
          </w:p>
        </w:tc>
        <w:tc>
          <w:tcPr>
            <w:tcW w:w="6015" w:type="dxa"/>
            <w:tcBorders>
              <w:top w:val="nil"/>
              <w:left w:val="nil"/>
              <w:bottom w:val="single" w:color="auto" w:sz="6" w:space="0"/>
              <w:right w:val="single" w:color="auto" w:sz="6" w:space="0"/>
            </w:tcBorders>
            <w:shd w:val="clear" w:color="auto" w:fill="auto"/>
            <w:tcMar>
              <w:left w:w="90" w:type="dxa"/>
              <w:right w:w="90" w:type="dxa"/>
            </w:tcMar>
            <w:vAlign w:val="center"/>
          </w:tcPr>
          <w:p w14:paraId="2E621A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eastAsiaTheme="minorEastAsia"/>
                <w:lang w:eastAsia="zh-CN"/>
              </w:rPr>
            </w:pPr>
            <w:r>
              <w:rPr>
                <w:rFonts w:hint="eastAsia" w:ascii="宋体" w:hAnsi="宋体" w:eastAsia="宋体" w:cs="宋体"/>
                <w:sz w:val="24"/>
                <w:szCs w:val="24"/>
                <w:lang w:eastAsia="zh-CN"/>
              </w:rPr>
              <w:t>行政处罚</w:t>
            </w:r>
          </w:p>
        </w:tc>
      </w:tr>
      <w:tr w14:paraId="60C7080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5" w:hRule="atLeast"/>
          <w:jc w:val="center"/>
        </w:trPr>
        <w:tc>
          <w:tcPr>
            <w:tcW w:w="2471" w:type="dxa"/>
            <w:tcBorders>
              <w:top w:val="nil"/>
              <w:left w:val="single" w:color="auto" w:sz="6" w:space="0"/>
              <w:bottom w:val="single" w:color="auto" w:sz="6" w:space="0"/>
              <w:right w:val="single" w:color="auto" w:sz="6" w:space="0"/>
            </w:tcBorders>
            <w:shd w:val="clear" w:color="auto" w:fill="auto"/>
            <w:tcMar>
              <w:left w:w="90" w:type="dxa"/>
              <w:right w:w="90" w:type="dxa"/>
            </w:tcMar>
            <w:vAlign w:val="center"/>
          </w:tcPr>
          <w:p w14:paraId="777780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6"/>
                <w:rFonts w:hint="eastAsia" w:ascii="宋体" w:hAnsi="宋体" w:eastAsia="宋体" w:cs="宋体"/>
                <w:sz w:val="24"/>
                <w:szCs w:val="24"/>
                <w:lang w:eastAsia="zh-CN"/>
              </w:rPr>
            </w:pPr>
            <w:r>
              <w:rPr>
                <w:rStyle w:val="6"/>
                <w:rFonts w:hint="eastAsia" w:ascii="宋体" w:hAnsi="宋体" w:eastAsia="宋体" w:cs="宋体"/>
                <w:sz w:val="24"/>
                <w:szCs w:val="24"/>
                <w:lang w:eastAsia="zh-CN"/>
              </w:rPr>
              <w:t>立案日期</w:t>
            </w:r>
          </w:p>
        </w:tc>
        <w:tc>
          <w:tcPr>
            <w:tcW w:w="6015" w:type="dxa"/>
            <w:tcBorders>
              <w:top w:val="nil"/>
              <w:left w:val="nil"/>
              <w:bottom w:val="single" w:color="auto" w:sz="6" w:space="0"/>
              <w:right w:val="single" w:color="auto" w:sz="6" w:space="0"/>
            </w:tcBorders>
            <w:shd w:val="clear" w:color="auto" w:fill="auto"/>
            <w:tcMar>
              <w:left w:w="90" w:type="dxa"/>
              <w:right w:w="90" w:type="dxa"/>
            </w:tcMar>
            <w:vAlign w:val="center"/>
          </w:tcPr>
          <w:p w14:paraId="26F119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宋体" w:hAnsi="宋体" w:eastAsia="宋体" w:cs="宋体"/>
                <w:sz w:val="24"/>
                <w:szCs w:val="24"/>
                <w:lang w:val="en-US" w:eastAsia="zh-CN"/>
              </w:rPr>
            </w:pP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09月09日</w:t>
            </w:r>
          </w:p>
        </w:tc>
      </w:tr>
      <w:tr w14:paraId="3320115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5" w:hRule="atLeast"/>
          <w:jc w:val="center"/>
        </w:trPr>
        <w:tc>
          <w:tcPr>
            <w:tcW w:w="2471" w:type="dxa"/>
            <w:tcBorders>
              <w:top w:val="nil"/>
              <w:left w:val="single" w:color="auto" w:sz="6" w:space="0"/>
              <w:bottom w:val="single" w:color="auto" w:sz="6" w:space="0"/>
              <w:right w:val="single" w:color="auto" w:sz="6" w:space="0"/>
            </w:tcBorders>
            <w:shd w:val="clear" w:color="auto" w:fill="auto"/>
            <w:tcMar>
              <w:left w:w="90" w:type="dxa"/>
              <w:right w:w="90" w:type="dxa"/>
            </w:tcMar>
            <w:vAlign w:val="center"/>
          </w:tcPr>
          <w:p w14:paraId="6BAE43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sz w:val="24"/>
                <w:szCs w:val="24"/>
              </w:rPr>
              <w:t>处罚决定日期：</w:t>
            </w:r>
          </w:p>
        </w:tc>
        <w:tc>
          <w:tcPr>
            <w:tcW w:w="6015" w:type="dxa"/>
            <w:tcBorders>
              <w:top w:val="nil"/>
              <w:left w:val="nil"/>
              <w:bottom w:val="single" w:color="auto" w:sz="6" w:space="0"/>
              <w:right w:val="single" w:color="auto" w:sz="6" w:space="0"/>
            </w:tcBorders>
            <w:shd w:val="clear" w:color="auto" w:fill="auto"/>
            <w:tcMar>
              <w:left w:w="90" w:type="dxa"/>
              <w:right w:w="90" w:type="dxa"/>
            </w:tcMar>
            <w:vAlign w:val="center"/>
          </w:tcPr>
          <w:p w14:paraId="546A2D5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12</w:t>
            </w:r>
            <w:r>
              <w:rPr>
                <w:rFonts w:hint="eastAsia" w:ascii="宋体" w:hAnsi="宋体" w:eastAsia="宋体" w:cs="宋体"/>
                <w:sz w:val="24"/>
                <w:szCs w:val="24"/>
              </w:rPr>
              <w:t>日</w:t>
            </w:r>
          </w:p>
        </w:tc>
      </w:tr>
      <w:tr w14:paraId="06D512B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5" w:hRule="atLeast"/>
          <w:jc w:val="center"/>
        </w:trPr>
        <w:tc>
          <w:tcPr>
            <w:tcW w:w="2471" w:type="dxa"/>
            <w:tcBorders>
              <w:top w:val="nil"/>
              <w:left w:val="single" w:color="auto" w:sz="6" w:space="0"/>
              <w:bottom w:val="single" w:color="auto" w:sz="6" w:space="0"/>
              <w:right w:val="single" w:color="auto" w:sz="6" w:space="0"/>
            </w:tcBorders>
            <w:shd w:val="clear" w:color="auto" w:fill="auto"/>
            <w:tcMar>
              <w:left w:w="90" w:type="dxa"/>
              <w:right w:w="90" w:type="dxa"/>
            </w:tcMar>
            <w:vAlign w:val="center"/>
          </w:tcPr>
          <w:p w14:paraId="5300E0F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处罚事由：</w:t>
            </w:r>
          </w:p>
        </w:tc>
        <w:tc>
          <w:tcPr>
            <w:tcW w:w="6015" w:type="dxa"/>
            <w:tcBorders>
              <w:top w:val="nil"/>
              <w:left w:val="nil"/>
              <w:bottom w:val="single" w:color="auto" w:sz="6" w:space="0"/>
              <w:right w:val="single" w:color="auto" w:sz="6" w:space="0"/>
            </w:tcBorders>
            <w:shd w:val="clear" w:color="auto" w:fill="auto"/>
            <w:tcMar>
              <w:left w:w="90" w:type="dxa"/>
              <w:right w:w="90" w:type="dxa"/>
            </w:tcMar>
            <w:vAlign w:val="center"/>
          </w:tcPr>
          <w:p w14:paraId="7BDED7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4"/>
                <w:szCs w:val="24"/>
                <w:lang w:eastAsia="zh-CN"/>
              </w:rPr>
            </w:pPr>
            <w:r>
              <w:rPr>
                <w:rFonts w:hint="eastAsia" w:ascii="宋体" w:hAnsi="宋体" w:eastAsia="宋体" w:cs="宋体"/>
                <w:b w:val="0"/>
                <w:bCs w:val="0"/>
                <w:sz w:val="24"/>
                <w:szCs w:val="24"/>
                <w:lang w:val="en-US" w:eastAsia="zh-CN"/>
              </w:rPr>
              <w:t>销售的</w:t>
            </w:r>
            <w:r>
              <w:rPr>
                <w:rFonts w:hint="eastAsia" w:ascii="宋体" w:hAnsi="宋体" w:eastAsia="宋体" w:cs="宋体"/>
                <w:b w:val="0"/>
                <w:bCs w:val="0"/>
                <w:color w:val="221E1F"/>
                <w:sz w:val="24"/>
                <w:szCs w:val="24"/>
                <w:u w:val="none"/>
                <w:lang w:val="en-US" w:eastAsia="zh-CN"/>
              </w:rPr>
              <w:t>好趣味小猪佩佩蜜汁猪排风味点心面</w:t>
            </w:r>
            <w:r>
              <w:rPr>
                <w:rFonts w:hint="eastAsia" w:ascii="宋体" w:hAnsi="宋体" w:eastAsia="宋体" w:cs="宋体"/>
                <w:b w:val="0"/>
                <w:bCs w:val="0"/>
                <w:sz w:val="24"/>
                <w:szCs w:val="24"/>
                <w:lang w:val="en-US" w:eastAsia="zh-CN"/>
              </w:rPr>
              <w:t>超过保质期</w:t>
            </w:r>
          </w:p>
        </w:tc>
      </w:tr>
      <w:tr w14:paraId="1B688A9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60" w:hRule="atLeast"/>
          <w:jc w:val="center"/>
        </w:trPr>
        <w:tc>
          <w:tcPr>
            <w:tcW w:w="2471" w:type="dxa"/>
            <w:tcBorders>
              <w:top w:val="nil"/>
              <w:left w:val="single" w:color="auto" w:sz="6" w:space="0"/>
              <w:bottom w:val="single" w:color="auto" w:sz="6" w:space="0"/>
              <w:right w:val="single" w:color="auto" w:sz="6" w:space="0"/>
            </w:tcBorders>
            <w:shd w:val="clear" w:color="auto" w:fill="auto"/>
            <w:tcMar>
              <w:left w:w="90" w:type="dxa"/>
              <w:right w:w="90" w:type="dxa"/>
            </w:tcMar>
            <w:vAlign w:val="center"/>
          </w:tcPr>
          <w:p w14:paraId="5D2893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sz w:val="24"/>
                <w:szCs w:val="24"/>
              </w:rPr>
              <w:t>处罚依据：</w:t>
            </w:r>
          </w:p>
        </w:tc>
        <w:tc>
          <w:tcPr>
            <w:tcW w:w="6015" w:type="dxa"/>
            <w:tcBorders>
              <w:top w:val="nil"/>
              <w:left w:val="nil"/>
              <w:bottom w:val="single" w:color="auto" w:sz="6" w:space="0"/>
              <w:right w:val="single" w:color="auto" w:sz="6" w:space="0"/>
            </w:tcBorders>
            <w:shd w:val="clear" w:color="auto" w:fill="auto"/>
            <w:tcMar>
              <w:left w:w="90" w:type="dxa"/>
              <w:right w:w="90" w:type="dxa"/>
            </w:tcMar>
            <w:vAlign w:val="center"/>
          </w:tcPr>
          <w:p w14:paraId="3B4F4556">
            <w:pPr>
              <w:keepNext w:val="0"/>
              <w:keepLines w:val="0"/>
              <w:pageBreakBefore w:val="0"/>
              <w:widowControl w:val="0"/>
              <w:kinsoku/>
              <w:wordWrap/>
              <w:overflowPunct/>
              <w:topLinePunct w:val="0"/>
              <w:autoSpaceDE/>
              <w:autoSpaceDN/>
              <w:bidi w:val="0"/>
              <w:adjustRightInd/>
              <w:snapToGrid/>
              <w:spacing w:line="320" w:lineRule="exact"/>
              <w:jc w:val="both"/>
              <w:textAlignment w:val="auto"/>
            </w:pPr>
            <w:r>
              <w:rPr>
                <w:rFonts w:hint="eastAsia" w:ascii="宋体" w:hAnsi="宋体" w:eastAsia="宋体" w:cs="宋体"/>
                <w:b w:val="0"/>
                <w:bCs w:val="0"/>
                <w:sz w:val="24"/>
                <w:szCs w:val="24"/>
                <w:lang w:val="en-US" w:eastAsia="zh-CN"/>
              </w:rPr>
              <w:t>《中华人民共和国食品安全法》第三十四条第（十）项</w:t>
            </w:r>
          </w:p>
        </w:tc>
      </w:tr>
      <w:tr w14:paraId="6D69863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5" w:hRule="atLeast"/>
          <w:jc w:val="center"/>
        </w:trPr>
        <w:tc>
          <w:tcPr>
            <w:tcW w:w="2471" w:type="dxa"/>
            <w:tcBorders>
              <w:top w:val="nil"/>
              <w:left w:val="single" w:color="auto" w:sz="6" w:space="0"/>
              <w:bottom w:val="single" w:color="auto" w:sz="6" w:space="0"/>
              <w:right w:val="single" w:color="auto" w:sz="6" w:space="0"/>
            </w:tcBorders>
            <w:shd w:val="clear" w:color="auto" w:fill="auto"/>
            <w:tcMar>
              <w:left w:w="90" w:type="dxa"/>
              <w:right w:w="90" w:type="dxa"/>
            </w:tcMar>
            <w:vAlign w:val="center"/>
          </w:tcPr>
          <w:p w14:paraId="27F95E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sz w:val="24"/>
                <w:szCs w:val="24"/>
              </w:rPr>
              <w:t>处罚结果：</w:t>
            </w:r>
          </w:p>
        </w:tc>
        <w:tc>
          <w:tcPr>
            <w:tcW w:w="6015" w:type="dxa"/>
            <w:tcBorders>
              <w:top w:val="nil"/>
              <w:left w:val="nil"/>
              <w:bottom w:val="single" w:color="auto" w:sz="6" w:space="0"/>
              <w:right w:val="single" w:color="auto" w:sz="6" w:space="0"/>
            </w:tcBorders>
            <w:shd w:val="clear" w:color="auto" w:fill="auto"/>
            <w:tcMar>
              <w:left w:w="90" w:type="dxa"/>
              <w:right w:w="90" w:type="dxa"/>
            </w:tcMar>
            <w:vAlign w:val="center"/>
          </w:tcPr>
          <w:p w14:paraId="076C0D98">
            <w:pPr>
              <w:ind w:left="0" w:leftChars="0" w:right="0" w:rightChars="0" w:firstLine="0" w:firstLineChars="0"/>
              <w:jc w:val="both"/>
            </w:pPr>
            <w:r>
              <w:rPr>
                <w:rFonts w:hint="eastAsia" w:ascii="宋体" w:hAnsi="宋体" w:eastAsia="宋体" w:cs="宋体"/>
                <w:b w:val="0"/>
                <w:bCs w:val="0"/>
                <w:sz w:val="24"/>
                <w:szCs w:val="24"/>
                <w:lang w:val="en-US" w:eastAsia="zh-CN"/>
              </w:rPr>
              <w:t>1、</w:t>
            </w:r>
            <w:r>
              <w:rPr>
                <w:rFonts w:hint="eastAsia" w:ascii="宋体" w:hAnsi="宋体" w:eastAsia="宋体" w:cs="宋体"/>
                <w:sz w:val="24"/>
                <w:szCs w:val="24"/>
                <w:u w:val="none"/>
                <w:lang w:val="en-US" w:eastAsia="zh-CN"/>
              </w:rPr>
              <w:t>未完全履行进货查验义务的行为给予警告</w:t>
            </w:r>
            <w:r>
              <w:rPr>
                <w:rFonts w:hint="eastAsia" w:ascii="宋体" w:hAnsi="宋体" w:eastAsia="宋体" w:cs="宋体"/>
                <w:b w:val="0"/>
                <w:bCs w:val="0"/>
                <w:sz w:val="24"/>
                <w:szCs w:val="24"/>
                <w:lang w:val="en-US" w:eastAsia="zh-CN"/>
              </w:rPr>
              <w:t>；2、</w:t>
            </w:r>
            <w:r>
              <w:rPr>
                <w:rFonts w:hint="eastAsia" w:ascii="宋体" w:hAnsi="宋体" w:eastAsia="宋体" w:cs="宋体"/>
                <w:b w:val="0"/>
                <w:bCs w:val="0"/>
                <w:color w:val="221E1F"/>
                <w:sz w:val="24"/>
                <w:szCs w:val="24"/>
                <w:u w:val="none"/>
                <w:lang w:val="en-US" w:eastAsia="zh-CN"/>
              </w:rPr>
              <w:t>没收违法所得1元；3</w:t>
            </w:r>
            <w:r>
              <w:rPr>
                <w:rFonts w:hint="eastAsia" w:ascii="宋体" w:hAnsi="宋体" w:eastAsia="宋体" w:cs="宋体"/>
                <w:b w:val="0"/>
                <w:bCs w:val="0"/>
                <w:sz w:val="24"/>
                <w:szCs w:val="24"/>
                <w:lang w:val="en-US" w:eastAsia="zh-CN"/>
              </w:rPr>
              <w:t>、并处罚款5000.00元。</w:t>
            </w:r>
          </w:p>
        </w:tc>
      </w:tr>
      <w:tr w14:paraId="1500E65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5" w:hRule="atLeast"/>
          <w:jc w:val="center"/>
        </w:trPr>
        <w:tc>
          <w:tcPr>
            <w:tcW w:w="2471" w:type="dxa"/>
            <w:tcBorders>
              <w:top w:val="single" w:color="auto" w:sz="4" w:space="0"/>
              <w:left w:val="single" w:color="auto" w:sz="4" w:space="0"/>
              <w:bottom w:val="single" w:color="auto" w:sz="4" w:space="0"/>
              <w:right w:val="single" w:color="auto" w:sz="4" w:space="0"/>
            </w:tcBorders>
            <w:shd w:val="clear" w:color="auto" w:fill="auto"/>
            <w:tcMar>
              <w:left w:w="90" w:type="dxa"/>
              <w:right w:w="90" w:type="dxa"/>
            </w:tcMar>
            <w:vAlign w:val="center"/>
          </w:tcPr>
          <w:p w14:paraId="1F07A1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6"/>
                <w:rFonts w:hint="eastAsia" w:ascii="宋体" w:hAnsi="宋体" w:eastAsia="宋体" w:cs="宋体"/>
                <w:sz w:val="24"/>
                <w:szCs w:val="24"/>
                <w:lang w:eastAsia="zh-CN"/>
              </w:rPr>
            </w:pPr>
            <w:bookmarkStart w:id="0" w:name="_GoBack"/>
            <w:bookmarkEnd w:id="0"/>
            <w:r>
              <w:rPr>
                <w:rStyle w:val="6"/>
                <w:rFonts w:hint="eastAsia" w:ascii="宋体" w:hAnsi="宋体" w:eastAsia="宋体" w:cs="宋体"/>
                <w:sz w:val="24"/>
                <w:szCs w:val="24"/>
                <w:lang w:eastAsia="zh-CN"/>
              </w:rPr>
              <w:t>处罚决定书文号</w:t>
            </w:r>
          </w:p>
        </w:tc>
        <w:tc>
          <w:tcPr>
            <w:tcW w:w="6015" w:type="dxa"/>
            <w:tcBorders>
              <w:top w:val="single" w:color="auto" w:sz="4" w:space="0"/>
              <w:left w:val="single" w:color="auto" w:sz="4" w:space="0"/>
              <w:bottom w:val="single" w:color="auto" w:sz="4" w:space="0"/>
              <w:right w:val="single" w:color="auto" w:sz="4" w:space="0"/>
            </w:tcBorders>
            <w:shd w:val="clear" w:color="auto" w:fill="auto"/>
            <w:tcMar>
              <w:left w:w="90" w:type="dxa"/>
              <w:right w:w="90" w:type="dxa"/>
            </w:tcMar>
            <w:vAlign w:val="center"/>
          </w:tcPr>
          <w:p w14:paraId="7EB27B2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4"/>
                <w:szCs w:val="24"/>
              </w:rPr>
            </w:pPr>
            <w:r>
              <w:rPr>
                <w:rFonts w:hint="eastAsia"/>
                <w:lang w:val="en-US" w:eastAsia="zh-CN"/>
              </w:rPr>
              <w:t>奈市监处罚〔2024〕06027号</w:t>
            </w:r>
          </w:p>
        </w:tc>
      </w:tr>
      <w:tr w14:paraId="0BB4039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5" w:hRule="atLeast"/>
          <w:jc w:val="center"/>
        </w:trPr>
        <w:tc>
          <w:tcPr>
            <w:tcW w:w="2471" w:type="dxa"/>
            <w:tcBorders>
              <w:top w:val="single" w:color="auto" w:sz="4" w:space="0"/>
              <w:left w:val="single" w:color="auto" w:sz="6" w:space="0"/>
              <w:bottom w:val="single" w:color="auto" w:sz="6" w:space="0"/>
              <w:right w:val="single" w:color="auto" w:sz="6" w:space="0"/>
            </w:tcBorders>
            <w:shd w:val="clear" w:color="auto" w:fill="auto"/>
            <w:tcMar>
              <w:left w:w="90" w:type="dxa"/>
              <w:right w:w="90" w:type="dxa"/>
            </w:tcMar>
            <w:vAlign w:val="center"/>
          </w:tcPr>
          <w:p w14:paraId="753053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6"/>
                <w:rFonts w:hint="eastAsia" w:ascii="宋体" w:hAnsi="宋体" w:eastAsia="宋体" w:cs="宋体"/>
                <w:sz w:val="24"/>
                <w:szCs w:val="24"/>
                <w:lang w:eastAsia="zh-CN"/>
              </w:rPr>
            </w:pPr>
            <w:r>
              <w:rPr>
                <w:rStyle w:val="6"/>
                <w:rFonts w:hint="eastAsia" w:ascii="宋体" w:hAnsi="宋体" w:eastAsia="宋体" w:cs="宋体"/>
                <w:sz w:val="24"/>
                <w:szCs w:val="24"/>
                <w:lang w:eastAsia="zh-CN"/>
              </w:rPr>
              <w:t>办理流程</w:t>
            </w:r>
          </w:p>
        </w:tc>
        <w:tc>
          <w:tcPr>
            <w:tcW w:w="6015" w:type="dxa"/>
            <w:tcBorders>
              <w:top w:val="single" w:color="auto" w:sz="4" w:space="0"/>
              <w:left w:val="nil"/>
              <w:bottom w:val="single" w:color="auto" w:sz="6" w:space="0"/>
              <w:right w:val="single" w:color="auto" w:sz="6" w:space="0"/>
            </w:tcBorders>
            <w:shd w:val="clear" w:color="auto" w:fill="auto"/>
            <w:tcMar>
              <w:left w:w="90" w:type="dxa"/>
              <w:right w:w="90" w:type="dxa"/>
            </w:tcMar>
            <w:vAlign w:val="center"/>
          </w:tcPr>
          <w:p w14:paraId="2B80FC6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sz w:val="24"/>
                <w:szCs w:val="24"/>
              </w:rPr>
              <w:t>立案→调查取证→审查→告知→决定 →送达→执行</w:t>
            </w:r>
          </w:p>
        </w:tc>
      </w:tr>
    </w:tbl>
    <w:p w14:paraId="5447E62D">
      <w:pPr>
        <w:rPr>
          <w:sz w:val="44"/>
          <w:szCs w:val="44"/>
        </w:rPr>
      </w:pPr>
    </w:p>
    <w:p w14:paraId="4CB03EC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mNzlmZmZiZDU5NWFhNmZjODc1OWZhYzUyOTAwN2YifQ=="/>
  </w:docVars>
  <w:rsids>
    <w:rsidRoot w:val="00000000"/>
    <w:rsid w:val="06E849C2"/>
    <w:rsid w:val="07F65119"/>
    <w:rsid w:val="1FEF0066"/>
    <w:rsid w:val="22066450"/>
    <w:rsid w:val="2A0708A5"/>
    <w:rsid w:val="3A597C65"/>
    <w:rsid w:val="3BF37579"/>
    <w:rsid w:val="46351C4B"/>
    <w:rsid w:val="58AF3DDF"/>
    <w:rsid w:val="5C8B3CDC"/>
    <w:rsid w:val="5CAB2B3A"/>
    <w:rsid w:val="6CA72B6B"/>
    <w:rsid w:val="6F165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autoRedefine/>
    <w:qFormat/>
    <w:uiPriority w:val="0"/>
    <w:rPr>
      <w:b/>
    </w:rPr>
  </w:style>
  <w:style w:type="character" w:styleId="7">
    <w:name w:val="Hyperlink"/>
    <w:basedOn w:val="5"/>
    <w:autoRedefine/>
    <w:qFormat/>
    <w:uiPriority w:val="0"/>
    <w:rPr>
      <w:color w:val="0000FF"/>
      <w:u w:val="single"/>
    </w:rPr>
  </w:style>
  <w:style w:type="paragraph" w:styleId="8">
    <w:name w:val="List Paragraph"/>
    <w:basedOn w:val="1"/>
    <w:autoRedefine/>
    <w:qFormat/>
    <w:uiPriority w:val="1"/>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276</Words>
  <Characters>321</Characters>
  <Lines>0</Lines>
  <Paragraphs>0</Paragraphs>
  <TotalTime>2</TotalTime>
  <ScaleCrop>false</ScaleCrop>
  <LinksUpToDate>false</LinksUpToDate>
  <CharactersWithSpaces>322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admin1</cp:lastModifiedBy>
  <cp:lastPrinted>2024-11-25T07:48:04Z</cp:lastPrinted>
  <dcterms:modified xsi:type="dcterms:W3CDTF">2024-11-25T07:48:56Z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5F845DE0CC164352858080FE4A16FA9D_12</vt:lpwstr>
  </property>
</Properties>
</file>