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30A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rPr>
          <w:sz w:val="33"/>
          <w:szCs w:val="33"/>
        </w:rPr>
      </w:pPr>
      <w:r>
        <w:rPr>
          <w:sz w:val="33"/>
          <w:szCs w:val="33"/>
          <w:bdr w:val="none" w:color="auto" w:sz="0" w:space="0"/>
        </w:rPr>
        <w:t>【主题党日】富民社区开展党的二十届三中全会精神宣讲活动</w:t>
      </w:r>
    </w:p>
    <w:p w14:paraId="38DFF3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line="300" w:lineRule="atLeast"/>
        <w:ind w:left="0" w:right="0"/>
        <w:jc w:val="left"/>
        <w:rPr>
          <w:sz w:val="0"/>
          <w:szCs w:val="0"/>
        </w:rPr>
      </w:pPr>
      <w:r>
        <w:rPr>
          <w:rFonts w:ascii="宋体" w:hAnsi="宋体" w:eastAsia="宋体" w:cs="宋体"/>
          <w:kern w:val="0"/>
          <w:sz w:val="22"/>
          <w:szCs w:val="22"/>
          <w:bdr w:val="none" w:color="auto" w:sz="0" w:space="0"/>
          <w:lang w:val="en-US" w:eastAsia="zh-CN" w:bidi="ar"/>
        </w:rPr>
        <w:t>富民社区居委会</w:t>
      </w:r>
      <w:r>
        <w:rPr>
          <w:rFonts w:ascii="宋体" w:hAnsi="宋体" w:eastAsia="宋体" w:cs="宋体"/>
          <w:kern w:val="0"/>
          <w:sz w:val="0"/>
          <w:szCs w:val="0"/>
          <w:bdr w:val="none" w:color="auto" w:sz="0" w:space="0"/>
          <w:lang w:val="en-US" w:eastAsia="zh-CN" w:bidi="ar"/>
        </w:rPr>
        <w:t> </w:t>
      </w:r>
      <w:r>
        <w:rPr>
          <w:rFonts w:ascii="宋体" w:hAnsi="宋体" w:eastAsia="宋体" w:cs="宋体"/>
          <w:kern w:val="0"/>
          <w:sz w:val="22"/>
          <w:szCs w:val="22"/>
          <w:u w:val="none"/>
          <w:bdr w:val="none" w:color="auto" w:sz="0" w:space="0"/>
          <w:lang w:val="en-US" w:eastAsia="zh-CN" w:bidi="ar"/>
        </w:rPr>
        <w:fldChar w:fldCharType="begin"/>
      </w:r>
      <w:r>
        <w:rPr>
          <w:rFonts w:ascii="宋体" w:hAnsi="宋体" w:eastAsia="宋体" w:cs="宋体"/>
          <w:kern w:val="0"/>
          <w:sz w:val="22"/>
          <w:szCs w:val="22"/>
          <w:u w:val="none"/>
          <w:bdr w:val="none" w:color="auto" w:sz="0" w:space="0"/>
          <w:lang w:val="en-US" w:eastAsia="zh-CN" w:bidi="ar"/>
        </w:rPr>
        <w:instrText xml:space="preserve"> HYPERLINK "javascript:void(0);" </w:instrText>
      </w:r>
      <w:r>
        <w:rPr>
          <w:rFonts w:ascii="宋体" w:hAnsi="宋体" w:eastAsia="宋体" w:cs="宋体"/>
          <w:kern w:val="0"/>
          <w:sz w:val="22"/>
          <w:szCs w:val="22"/>
          <w:u w:val="none"/>
          <w:bdr w:val="none" w:color="auto" w:sz="0" w:space="0"/>
          <w:lang w:val="en-US" w:eastAsia="zh-CN" w:bidi="ar"/>
        </w:rPr>
        <w:fldChar w:fldCharType="separate"/>
      </w:r>
      <w:r>
        <w:rPr>
          <w:rStyle w:val="7"/>
          <w:rFonts w:ascii="宋体" w:hAnsi="宋体" w:eastAsia="宋体" w:cs="宋体"/>
          <w:sz w:val="22"/>
          <w:szCs w:val="22"/>
          <w:u w:val="none"/>
          <w:bdr w:val="none" w:color="auto" w:sz="0" w:space="0"/>
        </w:rPr>
        <w:t>奈曼旗和谐富民</w:t>
      </w:r>
      <w:r>
        <w:rPr>
          <w:rFonts w:ascii="宋体" w:hAnsi="宋体" w:eastAsia="宋体" w:cs="宋体"/>
          <w:kern w:val="0"/>
          <w:sz w:val="22"/>
          <w:szCs w:val="22"/>
          <w:u w:val="none"/>
          <w:bdr w:val="none" w:color="auto" w:sz="0" w:space="0"/>
          <w:lang w:val="en-US" w:eastAsia="zh-CN" w:bidi="ar"/>
        </w:rPr>
        <w:fldChar w:fldCharType="end"/>
      </w:r>
      <w:r>
        <w:rPr>
          <w:rFonts w:ascii="宋体" w:hAnsi="宋体" w:eastAsia="宋体" w:cs="宋体"/>
          <w:kern w:val="0"/>
          <w:sz w:val="0"/>
          <w:szCs w:val="0"/>
          <w:bdr w:val="none" w:color="auto" w:sz="0" w:space="0"/>
          <w:lang w:val="en-US" w:eastAsia="zh-CN" w:bidi="ar"/>
        </w:rPr>
        <w:t> </w:t>
      </w:r>
      <w:r>
        <w:rPr>
          <w:rStyle w:val="6"/>
          <w:rFonts w:ascii="宋体" w:hAnsi="宋体" w:eastAsia="宋体" w:cs="宋体"/>
          <w:i w:val="0"/>
          <w:iCs w:val="0"/>
          <w:kern w:val="0"/>
          <w:sz w:val="22"/>
          <w:szCs w:val="22"/>
          <w:bdr w:val="none" w:color="auto" w:sz="0" w:space="0"/>
          <w:lang w:val="en-US" w:eastAsia="zh-CN" w:bidi="ar"/>
        </w:rPr>
        <w:t>2024年10月17日 17:39</w:t>
      </w:r>
      <w:r>
        <w:rPr>
          <w:rFonts w:ascii="宋体" w:hAnsi="宋体" w:eastAsia="宋体" w:cs="宋体"/>
          <w:kern w:val="0"/>
          <w:sz w:val="0"/>
          <w:szCs w:val="0"/>
          <w:bdr w:val="none" w:color="auto" w:sz="0" w:space="0"/>
          <w:lang w:val="en-US" w:eastAsia="zh-CN" w:bidi="ar"/>
        </w:rPr>
        <w:t> </w:t>
      </w:r>
      <w:r>
        <w:rPr>
          <w:rStyle w:val="6"/>
          <w:rFonts w:ascii="宋体" w:hAnsi="宋体" w:eastAsia="宋体" w:cs="宋体"/>
          <w:i w:val="0"/>
          <w:iCs w:val="0"/>
          <w:kern w:val="0"/>
          <w:sz w:val="22"/>
          <w:szCs w:val="22"/>
          <w:bdr w:val="none" w:color="auto" w:sz="0" w:space="0"/>
          <w:lang w:val="en-US" w:eastAsia="zh-CN" w:bidi="ar"/>
        </w:rPr>
        <w:t>内蒙古</w:t>
      </w:r>
    </w:p>
    <w:p w14:paraId="753985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为全面深入学习领会党的二十届三中全会精神，引导广大党员干部把思想和行动统一到全会精神上来，进一步统一思想、凝聚共识，确保让党的创新理论在基层生根发芽。2024年10月17日上午，大沁他拉街道富民社区依托主题党日组织召开了党的二十届三中全会精神宣讲报告会，会议邀请奈曼旗委党校教研室主任李晓丽老师作宣讲报告。共驻共建单位、社区两委成员、党员代表40余人参加会议。</w:t>
      </w:r>
    </w:p>
    <w:p w14:paraId="51722F8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drawing>
          <wp:inline distT="0" distB="0" distL="114300" distR="114300">
            <wp:extent cx="5248910" cy="2314575"/>
            <wp:effectExtent l="0" t="0" r="8890" b="9525"/>
            <wp:docPr id="2" name="图片 3" descr="IMG_258"/>
            <wp:cNvGraphicFramePr/>
            <a:graphic xmlns:a="http://schemas.openxmlformats.org/drawingml/2006/main">
              <a:graphicData uri="http://schemas.openxmlformats.org/drawingml/2006/picture">
                <pic:pic xmlns:pic="http://schemas.openxmlformats.org/drawingml/2006/picture">
                  <pic:nvPicPr>
                    <pic:cNvPr id="2" name="图片 3" descr="IMG_258"/>
                    <pic:cNvPicPr/>
                  </pic:nvPicPr>
                  <pic:blipFill>
                    <a:blip r:embed="rId4"/>
                    <a:stretch>
                      <a:fillRect/>
                    </a:stretch>
                  </pic:blipFill>
                  <pic:spPr>
                    <a:xfrm>
                      <a:off x="0" y="0"/>
                      <a:ext cx="5248910" cy="2314575"/>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5248910" cy="2314575"/>
            <wp:effectExtent l="0" t="0" r="8890" b="9525"/>
            <wp:docPr id="5" name="图片 4" descr="IMG_259"/>
            <wp:cNvGraphicFramePr/>
            <a:graphic xmlns:a="http://schemas.openxmlformats.org/drawingml/2006/main">
              <a:graphicData uri="http://schemas.openxmlformats.org/drawingml/2006/picture">
                <pic:pic xmlns:pic="http://schemas.openxmlformats.org/drawingml/2006/picture">
                  <pic:nvPicPr>
                    <pic:cNvPr id="5" name="图片 4" descr="IMG_259"/>
                    <pic:cNvPicPr/>
                  </pic:nvPicPr>
                  <pic:blipFill>
                    <a:blip r:embed="rId5"/>
                    <a:stretch>
                      <a:fillRect/>
                    </a:stretch>
                  </pic:blipFill>
                  <pic:spPr>
                    <a:xfrm>
                      <a:off x="0" y="0"/>
                      <a:ext cx="5248910" cy="2314575"/>
                    </a:xfrm>
                    <a:prstGeom prst="rect">
                      <a:avLst/>
                    </a:prstGeom>
                    <a:noFill/>
                    <a:ln w="9525">
                      <a:noFill/>
                    </a:ln>
                  </pic:spPr>
                </pic:pic>
              </a:graphicData>
            </a:graphic>
          </wp:inline>
        </w:drawing>
      </w:r>
    </w:p>
    <w:p w14:paraId="70508C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宣讲会上，李老师以《高举改革开放旗帜 以中国式现代化全面推进中华民族伟大复兴》为题，紧紧围绕党的二十届三中全会精神实质与核心要义，从怎么看、怎么干、怎么抓三方面解读了二十届三中全会是一次具有划时代、里程碑意义的重要会议，是一项当前和今后一个时期党和国家重大政治任务，是一次开启新征程、开创新局面的重大战略部署，为进一步全面深化改革、推进中国式现代化提供了坚强保障。宣讲报告主题鲜明，内容详实、条理清晰，既体现了政治高度，又兼顾了理论深度和实践宽度，为更好地理解、把握、贯彻全会精神提供了指导。</w:t>
      </w:r>
    </w:p>
    <w:p w14:paraId="57771CF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drawing>
          <wp:inline distT="0" distB="0" distL="114300" distR="114300">
            <wp:extent cx="5248910" cy="2314575"/>
            <wp:effectExtent l="0" t="0" r="8890" b="9525"/>
            <wp:docPr id="7" name="图片 5" descr="IMG_260"/>
            <wp:cNvGraphicFramePr/>
            <a:graphic xmlns:a="http://schemas.openxmlformats.org/drawingml/2006/main">
              <a:graphicData uri="http://schemas.openxmlformats.org/drawingml/2006/picture">
                <pic:pic xmlns:pic="http://schemas.openxmlformats.org/drawingml/2006/picture">
                  <pic:nvPicPr>
                    <pic:cNvPr id="7" name="图片 5" descr="IMG_260"/>
                    <pic:cNvPicPr/>
                  </pic:nvPicPr>
                  <pic:blipFill>
                    <a:blip r:embed="rId6"/>
                    <a:stretch>
                      <a:fillRect/>
                    </a:stretch>
                  </pic:blipFill>
                  <pic:spPr>
                    <a:xfrm>
                      <a:off x="0" y="0"/>
                      <a:ext cx="5248910" cy="2314575"/>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5248910" cy="2314575"/>
            <wp:effectExtent l="0" t="0" r="8890" b="9525"/>
            <wp:docPr id="4" name="图片 6" descr="IMG_261"/>
            <wp:cNvGraphicFramePr/>
            <a:graphic xmlns:a="http://schemas.openxmlformats.org/drawingml/2006/main">
              <a:graphicData uri="http://schemas.openxmlformats.org/drawingml/2006/picture">
                <pic:pic xmlns:pic="http://schemas.openxmlformats.org/drawingml/2006/picture">
                  <pic:nvPicPr>
                    <pic:cNvPr id="4" name="图片 6" descr="IMG_261"/>
                    <pic:cNvPicPr/>
                  </pic:nvPicPr>
                  <pic:blipFill>
                    <a:blip r:embed="rId7"/>
                    <a:stretch>
                      <a:fillRect/>
                    </a:stretch>
                  </pic:blipFill>
                  <pic:spPr>
                    <a:xfrm>
                      <a:off x="0" y="0"/>
                      <a:ext cx="5248910" cy="2314575"/>
                    </a:xfrm>
                    <a:prstGeom prst="rect">
                      <a:avLst/>
                    </a:prstGeom>
                    <a:noFill/>
                    <a:ln w="9525">
                      <a:noFill/>
                    </a:ln>
                  </pic:spPr>
                </pic:pic>
              </a:graphicData>
            </a:graphic>
          </wp:inline>
        </w:drawing>
      </w:r>
      <w:bookmarkStart w:id="0" w:name="_GoBack"/>
      <w:r>
        <w:rPr>
          <w:rFonts w:ascii="宋体" w:hAnsi="宋体" w:eastAsia="宋体" w:cs="宋体"/>
          <w:kern w:val="0"/>
          <w:sz w:val="24"/>
          <w:szCs w:val="24"/>
          <w:bdr w:val="none" w:color="auto" w:sz="0" w:space="0"/>
          <w:lang w:val="en-US" w:eastAsia="zh-CN" w:bidi="ar"/>
        </w:rPr>
        <w:drawing>
          <wp:inline distT="0" distB="0" distL="114300" distR="114300">
            <wp:extent cx="5248910" cy="2314575"/>
            <wp:effectExtent l="0" t="0" r="8890" b="9525"/>
            <wp:docPr id="6" name="图片 7" descr="IMG_262"/>
            <wp:cNvGraphicFramePr/>
            <a:graphic xmlns:a="http://schemas.openxmlformats.org/drawingml/2006/main">
              <a:graphicData uri="http://schemas.openxmlformats.org/drawingml/2006/picture">
                <pic:pic xmlns:pic="http://schemas.openxmlformats.org/drawingml/2006/picture">
                  <pic:nvPicPr>
                    <pic:cNvPr id="6" name="图片 7" descr="IMG_262"/>
                    <pic:cNvPicPr/>
                  </pic:nvPicPr>
                  <pic:blipFill>
                    <a:blip r:embed="rId8"/>
                    <a:stretch>
                      <a:fillRect/>
                    </a:stretch>
                  </pic:blipFill>
                  <pic:spPr>
                    <a:xfrm>
                      <a:off x="0" y="0"/>
                      <a:ext cx="5248910" cy="2314575"/>
                    </a:xfrm>
                    <a:prstGeom prst="rect">
                      <a:avLst/>
                    </a:prstGeom>
                    <a:noFill/>
                    <a:ln w="9525">
                      <a:noFill/>
                    </a:ln>
                  </pic:spPr>
                </pic:pic>
              </a:graphicData>
            </a:graphic>
          </wp:inline>
        </w:drawing>
      </w:r>
      <w:bookmarkEnd w:id="0"/>
    </w:p>
    <w:p w14:paraId="718ABC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整个宣讲会气氛热烈，李老师的激情演讲和参会人员的积极互动相互交织，让党的二十届三中全会精神如同春风化雨般，深深滋润着每一个人的心田。大家纷纷表示，通过这次宣讲会，对全会精神有了更深刻的理解和认识，也更加坚定了为实现中华民族伟大复兴的中国梦而努力奋斗的决心。</w:t>
      </w:r>
    </w:p>
    <w:p w14:paraId="384347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下一步，富民社区将继续深入学习贯彻党的二十届三中全会精神，努力把学习成效转化为推动工作的强劲动力，不断推动社区各项工作再上新台阶。</w:t>
      </w:r>
    </w:p>
    <w:p w14:paraId="13A6C2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3FA40D9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1B3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2024-11-04T01:25:50Z</dcterms:created>
  <dc:creator>Dream Fly</dc:creator>
  <cp:lastModifiedBy>马彬颖</cp:lastModifiedBy>
  <dcterms:modified xsi:type="dcterms:W3CDTF">2024-11-04T01:27:58Z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08737339F2654F8DA622FD9B8B904414_12</vt:lpwstr>
  </property>
</Properties>
</file>