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9179">
      <w:pPr>
        <w:ind w:firstLine="883" w:firstLineChars="200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精细管理多线出动，市容保障持续提升</w:t>
      </w:r>
    </w:p>
    <w:p w14:paraId="3ED0AB7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实推进全旗住建和生态环境领域违法问题集中整治专项行动工作，进一步保护和提高广大人民群众居住环境，连日来，奈曼旗城市管理综合行政执法局全方位查找城市管理薄弱环节，不断加大市容环境秩序整治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通过出动宣传车对城市管理的相关法规进行宣传、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及时规范治理店外摆放、占道经营等影响市容环境秩序问题。</w:t>
      </w:r>
    </w:p>
    <w:p w14:paraId="2167C959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0" w:name="_GoBack"/>
      <w:bookmarkEnd w:id="0"/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接下来，奈曼旗城市管理综合行政执法局将继续努力在常态长效、精雕细琢等方面下功夫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，以更大决心、更高要求、更实举措推动城市精细化管理提升行动，不断做好“精文章”持续下好“细功夫”多点发力做好城市管理执法各项工作，助力市容环境秩序“双提升”。</w:t>
      </w:r>
    </w:p>
    <w:p w14:paraId="34C43D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6DAC32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2C472100"/>
    <w:rsid w:val="12CF260E"/>
    <w:rsid w:val="2C4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52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2024-08-22T06:42:00Z</dcterms:created>
  <dc:creator>一修先生</dc:creator>
  <cp:lastModifiedBy>一修先生</cp:lastModifiedBy>
  <dcterms:modified xsi:type="dcterms:W3CDTF">2024-08-22T08:01:19Z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F3A852EB0ABA44C398F120B4BAC978B9_11</vt:lpwstr>
  </property>
</Properties>
</file>