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36"/>
        <w:spacing w:before="87" w:line="21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奈曼旗市场监督管理局</w:t>
      </w:r>
    </w:p>
    <w:p>
      <w:pPr>
        <w:ind w:left="1596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行政执法容错纠错实施办法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184"/>
        <w:spacing w:before="107" w:line="222" w:lineRule="auto"/>
        <w:outlineLvl w:val="0"/>
        <w:rPr/>
      </w:pPr>
      <w:r>
        <w:rPr>
          <w:b/>
          <w:bCs/>
          <w:spacing w:val="-27"/>
        </w:rPr>
        <w:t>第</w:t>
      </w:r>
      <w:r>
        <w:rPr>
          <w:spacing w:val="-23"/>
        </w:rPr>
        <w:t xml:space="preserve"> </w:t>
      </w:r>
      <w:r>
        <w:rPr>
          <w:b/>
          <w:bCs/>
          <w:spacing w:val="-27"/>
        </w:rPr>
        <w:t>一</w:t>
      </w:r>
      <w:r>
        <w:rPr>
          <w:spacing w:val="-29"/>
        </w:rPr>
        <w:t xml:space="preserve"> </w:t>
      </w:r>
      <w:r>
        <w:rPr>
          <w:b/>
          <w:bCs/>
          <w:spacing w:val="-27"/>
        </w:rPr>
        <w:t>章</w:t>
      </w:r>
      <w:r>
        <w:rPr>
          <w:spacing w:val="-27"/>
        </w:rPr>
        <w:t xml:space="preserve"> </w:t>
      </w:r>
      <w:r>
        <w:rPr>
          <w:b/>
          <w:bCs/>
          <w:spacing w:val="-27"/>
        </w:rPr>
        <w:t>总</w:t>
      </w:r>
      <w:r>
        <w:rPr>
          <w:spacing w:val="-27"/>
        </w:rPr>
        <w:t xml:space="preserve"> </w:t>
      </w:r>
      <w:r>
        <w:rPr>
          <w:b/>
          <w:bCs/>
          <w:spacing w:val="-27"/>
        </w:rPr>
        <w:t>则</w:t>
      </w:r>
    </w:p>
    <w:p>
      <w:pPr>
        <w:pStyle w:val="BodyText"/>
        <w:ind w:right="1673" w:firstLine="700"/>
        <w:spacing w:before="233" w:line="335" w:lineRule="auto"/>
        <w:rPr/>
      </w:pPr>
      <w:r>
        <w:rPr>
          <w:spacing w:val="-7"/>
        </w:rPr>
        <w:t>第一条为充分调动和保护全体干部在行政执法中的积</w:t>
      </w:r>
      <w:r>
        <w:rPr/>
        <w:t xml:space="preserve"> </w:t>
      </w:r>
      <w:r>
        <w:rPr>
          <w:spacing w:val="-14"/>
        </w:rPr>
        <w:t>极性、主动性、创造性，推动形成想改革、敢改革、善改革</w:t>
      </w:r>
      <w:r>
        <w:rPr>
          <w:spacing w:val="10"/>
        </w:rPr>
        <w:t xml:space="preserve"> </w:t>
      </w:r>
      <w:r>
        <w:rPr>
          <w:spacing w:val="-14"/>
        </w:rPr>
        <w:t>的良好氛围，进一步规范容错纠错的程序和要求，推动容错</w:t>
      </w:r>
      <w:r>
        <w:rPr>
          <w:spacing w:val="7"/>
        </w:rPr>
        <w:t xml:space="preserve"> </w:t>
      </w:r>
      <w:r>
        <w:rPr>
          <w:spacing w:val="-14"/>
        </w:rPr>
        <w:t>纠错机制落地见效，根据中央、自治区、市有关政策规定和</w:t>
      </w:r>
      <w:r>
        <w:rPr>
          <w:spacing w:val="17"/>
        </w:rPr>
        <w:t xml:space="preserve"> </w:t>
      </w:r>
      <w:r>
        <w:rPr>
          <w:spacing w:val="-14"/>
        </w:rPr>
        <w:t>相关法律法规，结合工作实际，制定本实施办法。</w:t>
      </w:r>
    </w:p>
    <w:p>
      <w:pPr>
        <w:pStyle w:val="BodyText"/>
        <w:ind w:left="700"/>
        <w:spacing w:before="101" w:line="222" w:lineRule="auto"/>
        <w:rPr/>
      </w:pPr>
      <w:r>
        <w:rPr>
          <w:spacing w:val="-7"/>
        </w:rPr>
        <w:t>第二条本办法适用于全体执法人员。</w:t>
      </w:r>
    </w:p>
    <w:p>
      <w:pPr>
        <w:pStyle w:val="BodyText"/>
        <w:ind w:right="1688" w:firstLine="700"/>
        <w:spacing w:before="211" w:line="330" w:lineRule="auto"/>
        <w:rPr/>
      </w:pPr>
      <w:r>
        <w:rPr>
          <w:spacing w:val="-7"/>
        </w:rPr>
        <w:t>第三条容错纠错应当坚持职责法定、尽职免责、失职</w:t>
      </w:r>
      <w:r>
        <w:rPr>
          <w:spacing w:val="9"/>
        </w:rPr>
        <w:t xml:space="preserve"> </w:t>
      </w:r>
      <w:r>
        <w:rPr>
          <w:spacing w:val="-14"/>
        </w:rPr>
        <w:t>追责，减少失误、有错必纠、公平公正的原则，做到事实清</w:t>
      </w:r>
      <w:r>
        <w:rPr>
          <w:spacing w:val="2"/>
        </w:rPr>
        <w:t xml:space="preserve"> </w:t>
      </w:r>
      <w:r>
        <w:rPr>
          <w:spacing w:val="-15"/>
        </w:rPr>
        <w:t>楚、证据确凿、程序合法、定性准确、处理适当。</w:t>
      </w:r>
    </w:p>
    <w:p>
      <w:pPr>
        <w:pStyle w:val="BodyText"/>
        <w:ind w:right="1656" w:firstLine="700"/>
        <w:spacing w:before="80" w:line="336" w:lineRule="auto"/>
        <w:rPr/>
      </w:pPr>
      <w:r>
        <w:rPr>
          <w:spacing w:val="-7"/>
        </w:rPr>
        <w:t>第四条执法人员按照法定职责、岗位职责和职业要求</w:t>
      </w:r>
      <w:r>
        <w:rPr>
          <w:spacing w:val="15"/>
        </w:rPr>
        <w:t xml:space="preserve"> </w:t>
      </w:r>
      <w:r>
        <w:rPr>
          <w:spacing w:val="-14"/>
        </w:rPr>
        <w:t>依法履行职责过程中，由于没有法律规定、政策要求、职业</w:t>
      </w:r>
      <w:r>
        <w:rPr>
          <w:spacing w:val="3"/>
        </w:rPr>
        <w:t xml:space="preserve"> </w:t>
      </w:r>
      <w:r>
        <w:rPr>
          <w:spacing w:val="-13"/>
        </w:rPr>
        <w:t>要求，或因为客观因素、难以预见预料的因素造成一定损失</w:t>
      </w:r>
      <w:r>
        <w:rPr>
          <w:spacing w:val="8"/>
        </w:rPr>
        <w:t xml:space="preserve"> </w:t>
      </w:r>
      <w:r>
        <w:rPr>
          <w:spacing w:val="-13"/>
        </w:rPr>
        <w:t>或者不良影响，并及时纠正改正的，按照有关规定和程序，</w:t>
      </w:r>
      <w:r>
        <w:rPr>
          <w:spacing w:val="8"/>
        </w:rPr>
        <w:t xml:space="preserve"> </w:t>
      </w:r>
      <w:r>
        <w:rPr>
          <w:spacing w:val="-22"/>
        </w:rPr>
        <w:t>予以容错。</w:t>
      </w:r>
    </w:p>
    <w:p>
      <w:pPr>
        <w:pStyle w:val="BodyText"/>
        <w:ind w:left="2984"/>
        <w:spacing w:before="85" w:line="222" w:lineRule="auto"/>
        <w:outlineLvl w:val="0"/>
        <w:rPr/>
      </w:pPr>
      <w:r>
        <w:rPr>
          <w:b/>
          <w:bCs/>
          <w:spacing w:val="9"/>
        </w:rPr>
        <w:t>第二章履职尽责</w:t>
      </w:r>
    </w:p>
    <w:p>
      <w:pPr>
        <w:pStyle w:val="BodyText"/>
        <w:ind w:right="1655" w:firstLine="660"/>
        <w:spacing w:before="234" w:line="336" w:lineRule="auto"/>
        <w:rPr/>
      </w:pPr>
      <w:r>
        <w:rPr>
          <w:spacing w:val="-14"/>
        </w:rPr>
        <w:t>第五条执法人员应当按照法定职责、法定程序严格履行</w:t>
      </w:r>
      <w:r>
        <w:rPr>
          <w:spacing w:val="7"/>
        </w:rPr>
        <w:t xml:space="preserve"> </w:t>
      </w:r>
      <w:r>
        <w:rPr>
          <w:spacing w:val="-13"/>
        </w:rPr>
        <w:t>行政处罚及与之相对应的行政强制和行政检查职责。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before="88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1"/>
        </w:rPr>
        <w:drawing>
          <wp:inline distT="0" distB="0" distL="0" distR="0">
            <wp:extent cx="393693" cy="3937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b/>
          <w:bCs/>
          <w:spacing w:val="16"/>
        </w:rPr>
        <w:t>扫描全能王创建</w:t>
      </w:r>
    </w:p>
    <w:p>
      <w:pPr>
        <w:sectPr>
          <w:footerReference w:type="default" r:id="rId1"/>
          <w:pgSz w:w="11900" w:h="16840"/>
          <w:pgMar w:top="1183" w:right="382" w:bottom="1" w:left="1609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pStyle w:val="BodyText"/>
        <w:ind w:left="29" w:right="1558" w:firstLine="664"/>
        <w:spacing w:before="70" w:line="331" w:lineRule="auto"/>
        <w:jc w:val="both"/>
        <w:rPr/>
      </w:pPr>
      <w:r>
        <w:rPr>
          <w:b/>
          <w:bCs/>
          <w:spacing w:val="-12"/>
        </w:rPr>
        <w:t>第六条</w:t>
      </w:r>
      <w:r>
        <w:rPr>
          <w:spacing w:val="-54"/>
        </w:rPr>
        <w:t xml:space="preserve"> </w:t>
      </w:r>
      <w:r>
        <w:rPr>
          <w:spacing w:val="-12"/>
        </w:rPr>
        <w:t>行政执法部门应当建立完善权力清单</w:t>
      </w:r>
      <w:r>
        <w:rPr>
          <w:spacing w:val="-13"/>
        </w:rPr>
        <w:t>、责任事</w:t>
      </w:r>
      <w:r>
        <w:rPr/>
        <w:t xml:space="preserve"> </w:t>
      </w:r>
      <w:r>
        <w:rPr>
          <w:spacing w:val="-14"/>
        </w:rPr>
        <w:t>项清单等内容，明确责任主体和承担责任方式，严格按照清</w:t>
      </w:r>
      <w:r>
        <w:rPr>
          <w:spacing w:val="12"/>
        </w:rPr>
        <w:t xml:space="preserve"> </w:t>
      </w:r>
      <w:r>
        <w:rPr>
          <w:spacing w:val="-16"/>
        </w:rPr>
        <w:t>单要求履行法定职责。</w:t>
      </w:r>
    </w:p>
    <w:p>
      <w:pPr>
        <w:pStyle w:val="BodyText"/>
        <w:ind w:left="29" w:right="1382" w:firstLine="659"/>
        <w:spacing w:before="54" w:line="325" w:lineRule="auto"/>
        <w:rPr/>
      </w:pPr>
      <w:r>
        <w:rPr>
          <w:spacing w:val="-8"/>
        </w:rPr>
        <w:t>第七条执法人员在行政处罚、行政强制等执法工作中，</w:t>
      </w:r>
      <w:r>
        <w:rPr>
          <w:spacing w:val="15"/>
        </w:rPr>
        <w:t xml:space="preserve"> </w:t>
      </w:r>
      <w:r>
        <w:rPr>
          <w:spacing w:val="-13"/>
        </w:rPr>
        <w:t>应当依法调查取证，形成完整的证据链，经过严格</w:t>
      </w:r>
      <w:r>
        <w:rPr>
          <w:spacing w:val="-14"/>
        </w:rPr>
        <w:t>的案件审</w:t>
      </w:r>
      <w:r>
        <w:rPr/>
        <w:t xml:space="preserve">  </w:t>
      </w:r>
      <w:r>
        <w:rPr>
          <w:spacing w:val="-14"/>
        </w:rPr>
        <w:t>查，依法作出适当的执法决定。</w:t>
      </w:r>
    </w:p>
    <w:p>
      <w:pPr>
        <w:pStyle w:val="BodyText"/>
        <w:ind w:left="29" w:right="1525" w:firstLine="659"/>
        <w:spacing w:before="93" w:line="334" w:lineRule="auto"/>
        <w:rPr/>
      </w:pPr>
      <w:r>
        <w:rPr>
          <w:spacing w:val="-5"/>
        </w:rPr>
        <w:t>第八条行政执法部门应当建立健全行政裁量标准、执</w:t>
      </w:r>
      <w:r>
        <w:rPr>
          <w:spacing w:val="10"/>
        </w:rPr>
        <w:t xml:space="preserve"> </w:t>
      </w:r>
      <w:r>
        <w:rPr>
          <w:spacing w:val="-13"/>
        </w:rPr>
        <w:t>法全过程记录制度、执法公示制度、重大执法决定法制审核</w:t>
      </w:r>
      <w:r>
        <w:rPr>
          <w:spacing w:val="16"/>
        </w:rPr>
        <w:t xml:space="preserve"> </w:t>
      </w:r>
      <w:r>
        <w:rPr>
          <w:spacing w:val="-12"/>
        </w:rPr>
        <w:t>制度，按照法律规定的程序、方式、时限履</w:t>
      </w:r>
      <w:r>
        <w:rPr>
          <w:spacing w:val="-13"/>
        </w:rPr>
        <w:t>行职责，规范行</w:t>
      </w:r>
      <w:r>
        <w:rPr/>
        <w:t xml:space="preserve"> </w:t>
      </w:r>
      <w:r>
        <w:rPr>
          <w:spacing w:val="-14"/>
        </w:rPr>
        <w:t>政处罚、行政强制等行政行为。</w:t>
      </w:r>
    </w:p>
    <w:p>
      <w:pPr>
        <w:pStyle w:val="BodyText"/>
        <w:ind w:left="29" w:right="1642" w:firstLine="659"/>
        <w:spacing w:before="75" w:line="325" w:lineRule="auto"/>
        <w:rPr/>
      </w:pPr>
      <w:r>
        <w:rPr>
          <w:spacing w:val="-5"/>
        </w:rPr>
        <w:t>第九条对涉嫌行政拘留、涉嫌刑事犯罪的案件，应当</w:t>
      </w:r>
      <w:r>
        <w:rPr>
          <w:spacing w:val="8"/>
        </w:rPr>
        <w:t xml:space="preserve"> </w:t>
      </w:r>
      <w:r>
        <w:rPr>
          <w:spacing w:val="-13"/>
        </w:rPr>
        <w:t>及时移送公安机关，并协助公安机关调查。</w:t>
      </w:r>
    </w:p>
    <w:p>
      <w:pPr>
        <w:pStyle w:val="BodyText"/>
        <w:ind w:left="29" w:right="1639" w:firstLine="659"/>
        <w:spacing w:before="47" w:line="345" w:lineRule="auto"/>
        <w:rPr/>
      </w:pPr>
      <w:r>
        <w:rPr>
          <w:spacing w:val="-5"/>
        </w:rPr>
        <w:t>第十条行政执法人员履行职责过程中，符合下列情形</w:t>
      </w:r>
      <w:r>
        <w:rPr>
          <w:spacing w:val="12"/>
        </w:rPr>
        <w:t xml:space="preserve"> </w:t>
      </w:r>
      <w:r>
        <w:rPr>
          <w:spacing w:val="-15"/>
        </w:rPr>
        <w:t>的，应当认定为履职尽责：</w:t>
      </w:r>
    </w:p>
    <w:p>
      <w:pPr>
        <w:pStyle w:val="BodyText"/>
        <w:ind w:left="29" w:right="1524" w:firstLine="779"/>
        <w:spacing w:before="6" w:line="287" w:lineRule="auto"/>
        <w:rPr/>
      </w:pPr>
      <w:r>
        <w:rPr>
          <w:spacing w:val="-5"/>
        </w:rPr>
        <w:t>(一)已经按照法定职责、法定程序、岗位职责，履行</w:t>
      </w:r>
      <w:r>
        <w:rPr>
          <w:spacing w:val="11"/>
        </w:rPr>
        <w:t xml:space="preserve"> </w:t>
      </w:r>
      <w:r>
        <w:rPr>
          <w:spacing w:val="-14"/>
        </w:rPr>
        <w:t>行政执法职责的；</w:t>
      </w:r>
    </w:p>
    <w:p>
      <w:pPr>
        <w:pStyle w:val="BodyText"/>
        <w:ind w:right="1485" w:firstLine="809"/>
        <w:spacing w:before="197" w:line="304" w:lineRule="auto"/>
        <w:rPr/>
      </w:pPr>
      <w:r>
        <w:rPr>
          <w:spacing w:val="-4"/>
        </w:rPr>
        <w:t>(二)因行政相对人隐瞒、伪造、毁灭证据</w:t>
      </w:r>
      <w:r>
        <w:rPr>
          <w:spacing w:val="-5"/>
        </w:rPr>
        <w:t>或者提供虚</w:t>
      </w:r>
      <w:r>
        <w:rPr/>
        <w:t xml:space="preserve"> </w:t>
      </w:r>
      <w:r>
        <w:rPr>
          <w:spacing w:val="-10"/>
        </w:rPr>
        <w:t>假材料，致使作出错误执法决定，或者逃避案件调查致使行</w:t>
      </w:r>
      <w:r>
        <w:rPr>
          <w:spacing w:val="11"/>
        </w:rPr>
        <w:t xml:space="preserve"> </w:t>
      </w:r>
      <w:r>
        <w:rPr>
          <w:spacing w:val="-12"/>
        </w:rPr>
        <w:t>政执法行为不能及时作出的；</w:t>
      </w:r>
    </w:p>
    <w:p>
      <w:pPr>
        <w:pStyle w:val="BodyText"/>
        <w:ind w:left="29" w:right="1487" w:firstLine="779"/>
        <w:spacing w:before="207" w:line="305" w:lineRule="auto"/>
        <w:rPr/>
      </w:pPr>
      <w:r>
        <w:rPr>
          <w:spacing w:val="-3"/>
        </w:rPr>
        <w:t>(三)对拒不执行行政处罚、行政命令等决定，已依法</w:t>
      </w:r>
      <w:r>
        <w:rPr>
          <w:spacing w:val="1"/>
        </w:rPr>
        <w:t xml:space="preserve"> </w:t>
      </w:r>
      <w:r>
        <w:rPr>
          <w:spacing w:val="-12"/>
        </w:rPr>
        <w:t>提请有批准权的人民政府责令停业、关闭或</w:t>
      </w:r>
      <w:r>
        <w:rPr>
          <w:spacing w:val="-13"/>
        </w:rPr>
        <w:t>者已经依法申请</w:t>
      </w:r>
      <w:r>
        <w:rPr/>
        <w:t xml:space="preserve"> </w:t>
      </w:r>
      <w:r>
        <w:rPr>
          <w:spacing w:val="-13"/>
        </w:rPr>
        <w:t>人民法院强制执行，被执行人仍违法生产经营的；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88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20"/>
        </w:rPr>
        <w:drawing>
          <wp:inline distT="0" distB="0" distL="0" distR="0">
            <wp:extent cx="393693" cy="3873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3693" cy="38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b/>
          <w:bCs/>
          <w:spacing w:val="13"/>
        </w:rPr>
        <w:t>扫描全能王创建</w:t>
      </w:r>
    </w:p>
    <w:p>
      <w:pPr>
        <w:sectPr>
          <w:pgSz w:w="11900" w:h="16840"/>
          <w:pgMar w:top="1138" w:right="402" w:bottom="189" w:left="1680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pStyle w:val="BodyText"/>
        <w:ind w:left="175" w:right="1732" w:firstLine="719"/>
        <w:spacing w:before="64" w:line="29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(四)因当事人擅自隐匿、转移、变卖、损毁被查封、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-12"/>
        </w:rPr>
        <w:t>扣押的物品导致危害后果发生的；</w:t>
      </w:r>
    </w:p>
    <w:p>
      <w:pPr>
        <w:pStyle w:val="BodyText"/>
        <w:ind w:left="175" w:right="1703" w:firstLine="719"/>
        <w:spacing w:before="209" w:line="292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(五)因不能预见、不能避免或不能克服等不可抗力因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-11"/>
        </w:rPr>
        <w:t>素，导致执法部门及其执法人员未能依法履行职责的；</w:t>
      </w:r>
    </w:p>
    <w:p>
      <w:pPr>
        <w:pStyle w:val="BodyText"/>
        <w:ind w:left="175" w:right="1720" w:firstLine="719"/>
        <w:spacing w:before="237" w:line="294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(六)因其他有关部门错误或者不当行政行为，导致作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-16"/>
        </w:rPr>
        <w:t>出错误判定或者处理的；</w:t>
      </w:r>
    </w:p>
    <w:p>
      <w:pPr>
        <w:pStyle w:val="BodyText"/>
        <w:ind w:left="175" w:right="1723" w:firstLine="719"/>
        <w:spacing w:before="226" w:line="293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(七)因标准缺失或者现有科学技术水平的限制不能发</w:t>
      </w:r>
      <w:r>
        <w:rPr>
          <w:sz w:val="31"/>
          <w:szCs w:val="31"/>
          <w:spacing w:val="11"/>
        </w:rPr>
        <w:t xml:space="preserve"> </w:t>
      </w:r>
      <w:r>
        <w:rPr>
          <w:sz w:val="31"/>
          <w:szCs w:val="31"/>
          <w:spacing w:val="-12"/>
        </w:rPr>
        <w:t>现存在问题，导致违法违规问题无法定性的；</w:t>
      </w:r>
    </w:p>
    <w:p>
      <w:pPr>
        <w:pStyle w:val="BodyText"/>
        <w:ind w:left="175" w:right="1689" w:firstLine="719"/>
        <w:spacing w:before="210" w:line="293" w:lineRule="auto"/>
        <w:rPr>
          <w:sz w:val="31"/>
          <w:szCs w:val="31"/>
        </w:rPr>
      </w:pPr>
      <w:r>
        <w:rPr>
          <w:sz w:val="31"/>
          <w:szCs w:val="31"/>
        </w:rPr>
        <w:t>(八)违法行为被依法查处和责令改正，在整改</w:t>
      </w:r>
      <w:r>
        <w:rPr>
          <w:sz w:val="31"/>
          <w:szCs w:val="31"/>
          <w:spacing w:val="-1"/>
        </w:rPr>
        <w:t>期间不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13"/>
        </w:rPr>
        <w:t>执行整改要求导致发生事故的；</w:t>
      </w:r>
    </w:p>
    <w:p>
      <w:pPr>
        <w:pStyle w:val="BodyText"/>
        <w:ind w:left="175" w:right="1724" w:firstLine="719"/>
        <w:spacing w:before="217" w:line="288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(九)违法行为已被依法调查和责令改正，在按法律程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-12"/>
        </w:rPr>
        <w:t>序办理或者移送过程中发生事故的；</w:t>
      </w:r>
    </w:p>
    <w:p>
      <w:pPr>
        <w:pStyle w:val="BodyText"/>
        <w:ind w:left="175" w:right="1720" w:firstLine="719"/>
        <w:spacing w:before="217" w:line="290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(十)按照事发当时法律法规和有关规定不应当追究责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-11"/>
        </w:rPr>
        <w:t>任，特别在“三定”职责中不属于自己职责的；</w:t>
      </w:r>
    </w:p>
    <w:p>
      <w:pPr>
        <w:pStyle w:val="BodyText"/>
        <w:ind w:left="894"/>
        <w:spacing w:before="234" w:line="222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(十一)其他履职尽责依法不应当追究责任的情形。</w:t>
      </w:r>
    </w:p>
    <w:p>
      <w:pPr>
        <w:pStyle w:val="BodyText"/>
        <w:ind w:left="3039"/>
        <w:spacing w:before="213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10"/>
        </w:rPr>
        <w:t>第三章容错纠错</w:t>
      </w:r>
    </w:p>
    <w:p>
      <w:pPr>
        <w:pStyle w:val="BodyText"/>
        <w:ind w:left="175" w:right="1723" w:firstLine="649"/>
        <w:spacing w:before="242" w:line="342" w:lineRule="auto"/>
        <w:jc w:val="both"/>
        <w:rPr>
          <w:sz w:val="31"/>
          <w:szCs w:val="31"/>
        </w:rPr>
      </w:pPr>
      <w:r>
        <w:rPr>
          <w:sz w:val="31"/>
          <w:szCs w:val="31"/>
          <w:spacing w:val="6"/>
        </w:rPr>
        <w:t>第十一条容错纠错要坚持“三个区分开来”,客观公</w:t>
      </w:r>
      <w:r>
        <w:rPr>
          <w:sz w:val="31"/>
          <w:szCs w:val="31"/>
          <w:spacing w:val="17"/>
        </w:rPr>
        <w:t xml:space="preserve"> </w:t>
      </w:r>
      <w:r>
        <w:rPr>
          <w:sz w:val="31"/>
          <w:szCs w:val="31"/>
          <w:spacing w:val="-10"/>
        </w:rPr>
        <w:t>正地评价。执法人员在履行职责过程中，符合下列情形之一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  <w:spacing w:val="-13"/>
        </w:rPr>
        <w:t>的，应当从轻、减轻处理或者予以免责：</w:t>
      </w:r>
    </w:p>
    <w:p>
      <w:pPr>
        <w:pStyle w:val="BodyText"/>
        <w:ind w:left="175" w:right="1728" w:firstLine="719"/>
        <w:spacing w:before="55" w:line="309" w:lineRule="auto"/>
        <w:rPr>
          <w:sz w:val="31"/>
          <w:szCs w:val="31"/>
        </w:rPr>
      </w:pPr>
      <w:r>
        <w:rPr>
          <w:sz w:val="31"/>
          <w:szCs w:val="31"/>
          <w:spacing w:val="-2"/>
        </w:rPr>
        <w:t>(一)贯彻执行上级指示决策部署中，为推动发展、攻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-11"/>
        </w:rPr>
        <w:t>坚克难，主动解决问题而大胆探索、先行先试出现失误或错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-21"/>
        </w:rPr>
        <w:t>误的；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before="89"/>
        <w:jc w:val="right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position w:val="-17"/>
        </w:rPr>
        <w:drawing>
          <wp:inline distT="0" distB="0" distL="0" distR="0">
            <wp:extent cx="355608" cy="34931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8" cy="34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7"/>
          <w:szCs w:val="27"/>
          <w:spacing w:val="-37"/>
        </w:rPr>
        <w:t xml:space="preserve"> </w:t>
      </w:r>
      <w:r>
        <w:rPr>
          <w:rFonts w:ascii="SimHei" w:hAnsi="SimHei" w:eastAsia="SimHei" w:cs="SimHei"/>
          <w:sz w:val="27"/>
          <w:szCs w:val="27"/>
          <w:b/>
          <w:bCs/>
          <w:spacing w:val="4"/>
        </w:rPr>
        <w:t>扫描全能王创建</w:t>
      </w:r>
    </w:p>
    <w:p>
      <w:pPr>
        <w:sectPr>
          <w:pgSz w:w="11900" w:h="16840"/>
          <w:pgMar w:top="1360" w:right="402" w:bottom="219" w:left="1785" w:header="0" w:footer="0" w:gutter="0"/>
        </w:sectPr>
        <w:rPr>
          <w:rFonts w:ascii="SimHei" w:hAnsi="SimHei" w:eastAsia="SimHei" w:cs="SimHei"/>
          <w:sz w:val="27"/>
          <w:szCs w:val="27"/>
        </w:rPr>
      </w:pPr>
    </w:p>
    <w:p>
      <w:pPr>
        <w:spacing w:line="266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5717050</wp:posOffset>
                </wp:positionH>
                <wp:positionV relativeFrom="paragraph">
                  <wp:posOffset>478225</wp:posOffset>
                </wp:positionV>
                <wp:extent cx="1271905" cy="290829"/>
                <wp:effectExtent l="0" t="0" r="0" b="0"/>
                <wp:wrapNone/>
                <wp:docPr id="8" name="TextBox 8"/>
                <wp:cNvGraphicFramePr/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6200000">
                          <a:off x="5717050" y="478225"/>
                          <a:ext cx="1271905" cy="29082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7" w:line="222" w:lineRule="auto"/>
                              <w:jc w:val="right"/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  <w:spacing w:val="-18"/>
                              </w:rPr>
                              <w:t>扫描全</w:t>
                            </w:r>
                            <w:r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  <w:spacing w:val="-17"/>
                              </w:rPr>
                              <w:t>能王创</w:t>
                            </w:r>
                            <w:r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  <w:spacing w:val="-14"/>
                              </w:rPr>
                              <w:t>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margin-left:450.161pt;margin-top:37.6555pt;mso-position-vertical-relative:text;mso-position-horizontal-relative:text;width:100.15pt;height:22.9pt;z-index:251658240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spacing w:before="77" w:line="222" w:lineRule="auto"/>
                        <w:jc w:val="right"/>
                        <w:rPr>
                          <w:rFonts w:ascii="SimHei" w:hAnsi="SimHei" w:eastAsia="SimHei" w:cs="SimHei"/>
                          <w:sz w:val="30"/>
                          <w:szCs w:val="30"/>
                        </w:rPr>
                      </w:pPr>
                      <w:r>
                        <w:rPr>
                          <w:rFonts w:ascii="SimHei" w:hAnsi="SimHei" w:eastAsia="SimHei" w:cs="SimHei"/>
                          <w:sz w:val="30"/>
                          <w:szCs w:val="30"/>
                          <w:spacing w:val="-18"/>
                        </w:rPr>
                        <w:t>扫描全</w:t>
                      </w:r>
                      <w:r>
                        <w:rPr>
                          <w:rFonts w:ascii="SimHei" w:hAnsi="SimHei" w:eastAsia="SimHei" w:cs="SimHei"/>
                          <w:sz w:val="30"/>
                          <w:szCs w:val="30"/>
                          <w:spacing w:val="-17"/>
                        </w:rPr>
                        <w:t>能王创</w:t>
                      </w:r>
                      <w:r>
                        <w:rPr>
                          <w:rFonts w:ascii="SimHei" w:hAnsi="SimHei" w:eastAsia="SimHei" w:cs="SimHei"/>
                          <w:sz w:val="30"/>
                          <w:szCs w:val="30"/>
                          <w:spacing w:val="-14"/>
                        </w:rPr>
                        <w:t>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9" w:right="2649" w:firstLine="669"/>
        <w:spacing w:before="98" w:line="294" w:lineRule="auto"/>
        <w:rPr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6140412</wp:posOffset>
            </wp:positionH>
            <wp:positionV relativeFrom="paragraph">
              <wp:posOffset>438732</wp:posOffset>
            </wp:positionV>
            <wp:extent cx="361956" cy="361971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956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-12"/>
        </w:rPr>
        <w:t>(二)全面深化改革、推进体制机制创新中，先行先试、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-14"/>
        </w:rPr>
        <w:t>突破常规，出现探索性失误或者未达到预期效果的；</w:t>
      </w:r>
    </w:p>
    <w:p>
      <w:pPr>
        <w:pStyle w:val="BodyText"/>
        <w:ind w:left="9" w:right="2785" w:firstLine="669"/>
        <w:spacing w:before="241" w:line="297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(三)扎实推动高质量发展、衣食住行等重点工作中，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-14"/>
        </w:rPr>
        <w:t>敢于决策、大胆履职、攻坚克难，出现失误或偏差的；</w:t>
      </w:r>
    </w:p>
    <w:p>
      <w:pPr>
        <w:pStyle w:val="BodyText"/>
        <w:ind w:right="2747" w:firstLine="679"/>
        <w:spacing w:before="232" w:line="321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(四)创造性开展工作中，因国家政策调整、法律法规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-12"/>
        </w:rPr>
        <w:t>调整、上级决策部署发生变化，或政策界限不明确，受客观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15"/>
        </w:rPr>
        <w:t>条件限制，出现失误或者偏差的；</w:t>
      </w:r>
    </w:p>
    <w:p>
      <w:pPr>
        <w:pStyle w:val="BodyText"/>
        <w:ind w:left="9" w:right="2773" w:firstLine="669"/>
        <w:spacing w:before="267" w:line="30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(五)执法过程中，为防止执法风险，临机决断、因不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-16"/>
        </w:rPr>
        <w:t>可抗力或不可预见原因，出现失误或者偏差的；</w:t>
      </w:r>
    </w:p>
    <w:p>
      <w:pPr>
        <w:pStyle w:val="BodyText"/>
        <w:ind w:left="9" w:right="2773" w:firstLine="669"/>
        <w:spacing w:before="245" w:line="294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(六)开展执法检查中，因执法对象故意隐瞒或未如实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-17"/>
        </w:rPr>
        <w:t>反映情况，致使没有及时发现潜在问题的；</w:t>
      </w:r>
    </w:p>
    <w:p>
      <w:pPr>
        <w:pStyle w:val="BodyText"/>
        <w:ind w:left="9" w:right="2699" w:firstLine="669"/>
        <w:spacing w:before="237" w:line="293" w:lineRule="auto"/>
        <w:rPr>
          <w:sz w:val="30"/>
          <w:szCs w:val="30"/>
        </w:rPr>
      </w:pPr>
      <w:r>
        <w:rPr>
          <w:sz w:val="30"/>
          <w:szCs w:val="30"/>
          <w:spacing w:val="-5"/>
        </w:rPr>
        <w:t>(七)依法开展行政执法中，因行政管理相对人主观故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1"/>
        </w:rPr>
        <w:t>意违法，执法人员已经采取法定措施，仍然造成事故</w:t>
      </w:r>
      <w:r>
        <w:rPr>
          <w:sz w:val="30"/>
          <w:szCs w:val="30"/>
          <w:spacing w:val="-22"/>
        </w:rPr>
        <w:t>发生的；</w:t>
      </w:r>
    </w:p>
    <w:p>
      <w:pPr>
        <w:pStyle w:val="BodyText"/>
        <w:ind w:left="9" w:right="2786" w:firstLine="669"/>
        <w:spacing w:before="225" w:line="294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(八)在解决执法矛盾过程中因勇于破除障碍、触及固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-17"/>
        </w:rPr>
        <w:t>有利益，造成失误或偏差的；</w:t>
      </w:r>
    </w:p>
    <w:p>
      <w:pPr>
        <w:pStyle w:val="BodyText"/>
        <w:ind w:left="679"/>
        <w:spacing w:before="267" w:line="222" w:lineRule="auto"/>
        <w:rPr>
          <w:sz w:val="30"/>
          <w:szCs w:val="30"/>
        </w:rPr>
      </w:pPr>
      <w:r>
        <w:rPr>
          <w:sz w:val="30"/>
          <w:szCs w:val="30"/>
          <w:spacing w:val="-7"/>
        </w:rPr>
        <w:t>(九)其他可以容错免责的情形。</w:t>
      </w:r>
    </w:p>
    <w:p>
      <w:pPr>
        <w:pStyle w:val="BodyText"/>
        <w:ind w:left="9" w:right="2777" w:firstLine="560"/>
        <w:spacing w:before="238" w:line="350" w:lineRule="auto"/>
        <w:rPr>
          <w:sz w:val="30"/>
          <w:szCs w:val="30"/>
        </w:rPr>
      </w:pPr>
      <w:r>
        <w:rPr>
          <w:sz w:val="30"/>
          <w:szCs w:val="30"/>
          <w:spacing w:val="-13"/>
        </w:rPr>
        <w:t>具有上述情形之一同时符合下列条件的，可以免除相关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19"/>
        </w:rPr>
        <w:t>执法机构及执法人员的责任：</w:t>
      </w:r>
    </w:p>
    <w:p>
      <w:pPr>
        <w:pStyle w:val="BodyText"/>
        <w:ind w:left="679"/>
        <w:spacing w:before="66" w:line="222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(一)法律没有明令禁止的；</w:t>
      </w:r>
    </w:p>
    <w:p>
      <w:pPr>
        <w:pStyle w:val="BodyText"/>
        <w:ind w:left="679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(二)没有造成重大损失和严重不良影响的；</w:t>
      </w:r>
    </w:p>
    <w:p>
      <w:pPr>
        <w:pStyle w:val="BodyText"/>
        <w:ind w:left="679"/>
        <w:spacing w:before="237" w:line="222" w:lineRule="auto"/>
        <w:rPr>
          <w:sz w:val="30"/>
          <w:szCs w:val="30"/>
        </w:rPr>
      </w:pPr>
      <w:r>
        <w:rPr>
          <w:sz w:val="30"/>
          <w:szCs w:val="30"/>
          <w:spacing w:val="-9"/>
        </w:rPr>
        <w:t>(三)积极主动消除不良影响、挽回损失的。</w:t>
      </w:r>
    </w:p>
    <w:p>
      <w:pPr>
        <w:spacing w:line="222" w:lineRule="auto"/>
        <w:sectPr>
          <w:pgSz w:w="11900" w:h="16840"/>
          <w:pgMar w:top="367" w:right="220" w:bottom="400" w:left="1440" w:header="0" w:footer="0" w:gutter="0"/>
        </w:sectPr>
        <w:rPr>
          <w:sz w:val="30"/>
          <w:szCs w:val="30"/>
        </w:rPr>
      </w:pPr>
    </w:p>
    <w:p>
      <w:pPr>
        <w:spacing w:line="258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5602743</wp:posOffset>
                </wp:positionH>
                <wp:positionV relativeFrom="paragraph">
                  <wp:posOffset>484392</wp:posOffset>
                </wp:positionV>
                <wp:extent cx="1284605" cy="290829"/>
                <wp:effectExtent l="0" t="0" r="0" b="0"/>
                <wp:wrapNone/>
                <wp:docPr id="12" name="TextBox 12"/>
                <wp:cNvGraphicFramePr/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6200000">
                          <a:off x="5602743" y="484392"/>
                          <a:ext cx="1284605" cy="29082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right="3"/>
                              <w:spacing w:before="77" w:line="222" w:lineRule="auto"/>
                              <w:jc w:val="right"/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30"/>
                                <w:szCs w:val="30"/>
                                <w:spacing w:val="-15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margin-left:441.161pt;margin-top:38.1412pt;mso-position-vertical-relative:text;mso-position-horizontal-relative:text;width:101.15pt;height:22.9pt;z-index:251660288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right="3"/>
                        <w:spacing w:before="77" w:line="222" w:lineRule="auto"/>
                        <w:jc w:val="right"/>
                        <w:rPr>
                          <w:rFonts w:ascii="SimHei" w:hAnsi="SimHei" w:eastAsia="SimHei" w:cs="SimHei"/>
                          <w:sz w:val="30"/>
                          <w:szCs w:val="30"/>
                        </w:rPr>
                      </w:pPr>
                      <w:r>
                        <w:rPr>
                          <w:rFonts w:ascii="SimHei" w:hAnsi="SimHei" w:eastAsia="SimHei" w:cs="SimHei"/>
                          <w:sz w:val="30"/>
                          <w:szCs w:val="30"/>
                          <w:spacing w:val="-15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right="2488" w:firstLine="580"/>
        <w:spacing w:before="98" w:line="345" w:lineRule="auto"/>
        <w:rPr>
          <w:sz w:val="30"/>
          <w:szCs w:val="3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6019810</wp:posOffset>
            </wp:positionH>
            <wp:positionV relativeFrom="paragraph">
              <wp:posOffset>452793</wp:posOffset>
            </wp:positionV>
            <wp:extent cx="400040" cy="40004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0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-7"/>
        </w:rPr>
        <w:t>第十二条执法人员在履行职责过程中，符合下列情形之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-13"/>
        </w:rPr>
        <w:t>一的，可以从轻或者减轻责任：</w:t>
      </w:r>
    </w:p>
    <w:p>
      <w:pPr>
        <w:pStyle w:val="BodyText"/>
        <w:ind w:left="730"/>
        <w:spacing w:before="43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(一)主动采取措施有效避免损失或者挽回影响的；</w:t>
      </w:r>
    </w:p>
    <w:p>
      <w:pPr>
        <w:pStyle w:val="BodyText"/>
        <w:ind w:left="730"/>
        <w:spacing w:before="235" w:line="220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(二)积极配合问责调查，并主动承担责任</w:t>
      </w:r>
      <w:r>
        <w:rPr>
          <w:sz w:val="30"/>
          <w:szCs w:val="30"/>
        </w:rPr>
        <w:t>的；</w:t>
      </w:r>
    </w:p>
    <w:p>
      <w:pPr>
        <w:pStyle w:val="BodyText"/>
        <w:ind w:left="730"/>
        <w:spacing w:before="253" w:line="222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(三)其他依法可以从轻、减轻追究责任的。</w:t>
      </w:r>
    </w:p>
    <w:p>
      <w:pPr>
        <w:pStyle w:val="BodyText"/>
        <w:ind w:right="2549" w:firstLine="580"/>
        <w:spacing w:before="218" w:line="356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第十三条执法人员履行职责过程中违反法定的职责范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-7"/>
        </w:rPr>
        <w:t>围和法定程序的，不予容错。</w:t>
      </w:r>
    </w:p>
    <w:p>
      <w:pPr>
        <w:pStyle w:val="BodyText"/>
        <w:ind w:right="2398" w:firstLine="580"/>
        <w:spacing w:before="23" w:line="365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第十四条在启动和进行容错免责认定工作由局党组统</w:t>
      </w:r>
      <w:r>
        <w:rPr>
          <w:sz w:val="30"/>
          <w:szCs w:val="30"/>
          <w:spacing w:val="1"/>
        </w:rPr>
        <w:t xml:space="preserve">  </w:t>
      </w:r>
      <w:r>
        <w:rPr>
          <w:sz w:val="30"/>
          <w:szCs w:val="30"/>
          <w:spacing w:val="-4"/>
        </w:rPr>
        <w:t>一领导，党组具体结合主观、客观条件、程序方法、性质程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4"/>
        </w:rPr>
        <w:t>度、后果影响以及挽回损失等情况进行综合分析研判，准确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-4"/>
        </w:rPr>
        <w:t>把握政策界限，及时作出认定结论。对该容的大胆容错，对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-4"/>
        </w:rPr>
        <w:t>不该容的坚决不容。个人也可以直接向单位提出容错认定申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4"/>
        </w:rPr>
        <w:t>请。单位调查核实后，应当及时作出容错与否的认定结论。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-1"/>
        </w:rPr>
        <w:t>容错决定作出后，应当于7日内告知相关单位及当事人，</w:t>
      </w:r>
      <w:r>
        <w:rPr>
          <w:sz w:val="30"/>
          <w:szCs w:val="30"/>
          <w:spacing w:val="-71"/>
        </w:rPr>
        <w:t xml:space="preserve"> </w:t>
      </w:r>
      <w:r>
        <w:rPr>
          <w:sz w:val="30"/>
          <w:szCs w:val="30"/>
          <w:spacing w:val="-1"/>
        </w:rPr>
        <w:t>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般应在一定范围内公开。</w:t>
      </w:r>
    </w:p>
    <w:p>
      <w:pPr>
        <w:pStyle w:val="BodyText"/>
        <w:ind w:right="2385" w:firstLine="580"/>
        <w:spacing w:before="73" w:line="358" w:lineRule="auto"/>
        <w:rPr>
          <w:sz w:val="30"/>
          <w:szCs w:val="30"/>
        </w:rPr>
      </w:pPr>
      <w:r>
        <w:rPr>
          <w:sz w:val="30"/>
          <w:szCs w:val="30"/>
          <w:spacing w:val="-3"/>
        </w:rPr>
        <w:t>第十五条经研究决定，对执法人员予以容错的，不作为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-12"/>
        </w:rPr>
        <w:t>执法错误认定。</w:t>
      </w:r>
    </w:p>
    <w:p>
      <w:pPr>
        <w:pStyle w:val="BodyText"/>
        <w:ind w:right="2486" w:firstLine="580"/>
        <w:spacing w:before="77" w:line="350" w:lineRule="auto"/>
        <w:rPr>
          <w:sz w:val="30"/>
          <w:szCs w:val="30"/>
        </w:rPr>
      </w:pPr>
      <w:r>
        <w:rPr>
          <w:sz w:val="30"/>
          <w:szCs w:val="30"/>
          <w:spacing w:val="6"/>
        </w:rPr>
        <w:t>第十六条坚持有错必纠、有过必改，在问责机构作出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-5"/>
        </w:rPr>
        <w:t>容错免责决定的同时，应当及时启动纠错程序。</w:t>
      </w:r>
    </w:p>
    <w:p>
      <w:pPr>
        <w:pStyle w:val="BodyText"/>
        <w:ind w:right="2249" w:firstLine="580"/>
        <w:spacing w:before="66" w:line="370" w:lineRule="auto"/>
        <w:rPr>
          <w:sz w:val="30"/>
          <w:szCs w:val="30"/>
        </w:rPr>
      </w:pPr>
      <w:r>
        <w:rPr>
          <w:sz w:val="30"/>
          <w:szCs w:val="30"/>
          <w:spacing w:val="3"/>
        </w:rPr>
        <w:t>第十七条应向尽职免责、容错免责对象说明纠错事由，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-9"/>
        </w:rPr>
        <w:t>明确纠错事项，提出纠错要求或者建议，责成限期纠正问题、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2"/>
        </w:rPr>
        <w:t>改进工作。同时，要督促指导相关科队或者个人</w:t>
      </w:r>
      <w:r>
        <w:rPr>
          <w:sz w:val="30"/>
          <w:szCs w:val="30"/>
          <w:spacing w:val="-3"/>
        </w:rPr>
        <w:t>认真分析原</w:t>
      </w:r>
    </w:p>
    <w:p>
      <w:pPr>
        <w:spacing w:line="370" w:lineRule="auto"/>
        <w:sectPr>
          <w:pgSz w:w="11900" w:h="16840"/>
          <w:pgMar w:top="357" w:right="180" w:bottom="400" w:left="1609" w:header="0" w:footer="0" w:gutter="0"/>
        </w:sectPr>
        <w:rPr>
          <w:sz w:val="30"/>
          <w:szCs w:val="30"/>
        </w:rPr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right="1594"/>
        <w:spacing w:before="94" w:line="357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因、深刻汲取教训，完善制度、健全机制，防止类似错误再</w:t>
      </w:r>
      <w:r>
        <w:rPr>
          <w:sz w:val="29"/>
          <w:szCs w:val="29"/>
        </w:rPr>
        <w:t xml:space="preserve">   </w:t>
      </w:r>
      <w:r>
        <w:rPr>
          <w:sz w:val="29"/>
          <w:szCs w:val="29"/>
          <w:spacing w:val="-1"/>
        </w:rPr>
        <w:t>次发生。纠错对象应当在规定期限内完成纠错整改，因特殊</w:t>
      </w:r>
      <w:r>
        <w:rPr>
          <w:sz w:val="29"/>
          <w:szCs w:val="29"/>
          <w:spacing w:val="1"/>
        </w:rPr>
        <w:t xml:space="preserve">   </w:t>
      </w:r>
      <w:r>
        <w:rPr>
          <w:sz w:val="29"/>
          <w:szCs w:val="29"/>
          <w:spacing w:val="-2"/>
        </w:rPr>
        <w:t>情况难以在规定时间内完成的，可以申请适当延长整改期限。</w:t>
      </w:r>
    </w:p>
    <w:p>
      <w:pPr>
        <w:pStyle w:val="BodyText"/>
        <w:ind w:right="1831" w:firstLine="580"/>
        <w:spacing w:before="87" w:line="367" w:lineRule="auto"/>
        <w:rPr>
          <w:sz w:val="29"/>
          <w:szCs w:val="29"/>
        </w:rPr>
      </w:pPr>
      <w:r>
        <w:rPr>
          <w:sz w:val="29"/>
          <w:szCs w:val="29"/>
          <w:spacing w:val="7"/>
        </w:rPr>
        <w:t>第十八条应当采取适当方式，跟踪了解纠错对象的整</w:t>
      </w:r>
      <w:r>
        <w:rPr>
          <w:sz w:val="29"/>
          <w:szCs w:val="29"/>
          <w:spacing w:val="4"/>
        </w:rPr>
        <w:t xml:space="preserve">  </w:t>
      </w:r>
      <w:r>
        <w:rPr>
          <w:sz w:val="29"/>
          <w:szCs w:val="29"/>
          <w:spacing w:val="-2"/>
        </w:rPr>
        <w:t>改情况。对同一类问题频繁出现或者同一领域集中出现的易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</w:rPr>
        <w:t>错情形，应当针对性研究分析，找出易错风险点和问题症结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-5"/>
        </w:rPr>
        <w:t>并警示提醒，防止类似错误和问题重复发生。</w:t>
      </w:r>
    </w:p>
    <w:p>
      <w:pPr>
        <w:pStyle w:val="BodyText"/>
        <w:ind w:right="1639" w:firstLine="580"/>
        <w:spacing w:before="61" w:line="371" w:lineRule="auto"/>
        <w:rPr>
          <w:sz w:val="29"/>
          <w:szCs w:val="29"/>
        </w:rPr>
      </w:pPr>
      <w:r>
        <w:rPr>
          <w:sz w:val="29"/>
          <w:szCs w:val="29"/>
          <w:spacing w:val="1"/>
        </w:rPr>
        <w:t>第十九条应当建立澄清保护机制，及时消除负面影响。</w:t>
      </w:r>
      <w:r>
        <w:rPr>
          <w:sz w:val="29"/>
          <w:szCs w:val="29"/>
        </w:rPr>
        <w:t xml:space="preserve">  </w:t>
      </w:r>
      <w:r>
        <w:rPr>
          <w:sz w:val="29"/>
          <w:szCs w:val="29"/>
          <w:spacing w:val="-2"/>
        </w:rPr>
        <w:t>正确对待信访举报，对信访举报中经查不属实、查无实据或</w:t>
      </w:r>
      <w:r>
        <w:rPr>
          <w:sz w:val="29"/>
          <w:szCs w:val="29"/>
          <w:spacing w:val="3"/>
        </w:rPr>
        <w:t xml:space="preserve">  </w:t>
      </w:r>
      <w:r>
        <w:rPr>
          <w:sz w:val="29"/>
          <w:szCs w:val="29"/>
          <w:spacing w:val="-1"/>
        </w:rPr>
        <w:t>者经认定予以容错免责的情形，属实名举报的，按规定向举</w:t>
      </w:r>
      <w:r>
        <w:rPr>
          <w:sz w:val="29"/>
          <w:szCs w:val="29"/>
        </w:rPr>
        <w:t xml:space="preserve">  </w:t>
      </w:r>
      <w:r>
        <w:rPr>
          <w:sz w:val="29"/>
          <w:szCs w:val="29"/>
          <w:spacing w:val="-1"/>
        </w:rPr>
        <w:t>报人反馈结果；属匿名举报的，在一定范围内说明情况。对</w:t>
      </w:r>
      <w:r>
        <w:rPr>
          <w:sz w:val="29"/>
          <w:szCs w:val="29"/>
          <w:spacing w:val="2"/>
        </w:rPr>
        <w:t xml:space="preserve">  </w:t>
      </w:r>
      <w:r>
        <w:rPr>
          <w:sz w:val="29"/>
          <w:szCs w:val="29"/>
          <w:spacing w:val="-3"/>
        </w:rPr>
        <w:t>经查受到恶意中伤、诬告陷害以及被恶意炒作和诽谤的干部，</w:t>
      </w:r>
      <w:r>
        <w:rPr>
          <w:sz w:val="29"/>
          <w:szCs w:val="29"/>
        </w:rPr>
        <w:t xml:space="preserve"> </w:t>
      </w:r>
      <w:r>
        <w:rPr>
          <w:sz w:val="29"/>
          <w:szCs w:val="29"/>
          <w:spacing w:val="-1"/>
        </w:rPr>
        <w:t>及时通过适当方式在一定范围为其澄清和正名，消除负面影</w:t>
      </w:r>
      <w:r>
        <w:rPr>
          <w:sz w:val="29"/>
          <w:szCs w:val="29"/>
          <w:spacing w:val="1"/>
        </w:rPr>
        <w:t xml:space="preserve">  </w:t>
      </w:r>
      <w:r>
        <w:rPr>
          <w:sz w:val="29"/>
          <w:szCs w:val="29"/>
          <w:spacing w:val="-4"/>
        </w:rPr>
        <w:t>响，为担当作为、干事创业的干部撑腰鼓劲。</w:t>
      </w:r>
    </w:p>
    <w:p>
      <w:pPr>
        <w:pStyle w:val="BodyText"/>
        <w:ind w:left="580"/>
        <w:spacing w:before="52" w:line="189" w:lineRule="auto"/>
        <w:rPr>
          <w:sz w:val="29"/>
          <w:szCs w:val="29"/>
        </w:rPr>
      </w:pPr>
      <w:r>
        <w:rPr>
          <w:sz w:val="29"/>
          <w:szCs w:val="29"/>
          <w:spacing w:val="1"/>
        </w:rPr>
        <w:t>第二十条本办法自印发之日起实施。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-344761</wp:posOffset>
                </wp:positionH>
                <wp:positionV relativeFrom="paragraph">
                  <wp:posOffset>484341</wp:posOffset>
                </wp:positionV>
                <wp:extent cx="1258569" cy="264795"/>
                <wp:effectExtent l="0" t="0" r="0" b="0"/>
                <wp:wrapNone/>
                <wp:docPr id="16" name="TextBox 16"/>
                <wp:cNvGraphicFramePr/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6200000">
                          <a:off x="-344761" y="484341"/>
                          <a:ext cx="1258569" cy="26479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71" w:line="222" w:lineRule="auto"/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SimHei" w:hAnsi="SimHei" w:eastAsia="SimHei" w:cs="SimHei"/>
                                <w:sz w:val="27"/>
                                <w:szCs w:val="27"/>
                                <w:spacing w:val="7"/>
                              </w:rPr>
                              <w:t>扫描全能王创建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6" style="position:absolute;margin-left:-27.1465pt;margin-top:38.1371pt;mso-position-vertical-relative:text;mso-position-horizontal-relative:text;width:99.1pt;height:20.85pt;z-index:251662336;rotation:270;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71" w:line="222" w:lineRule="auto"/>
                        <w:rPr>
                          <w:rFonts w:ascii="SimHei" w:hAnsi="SimHei" w:eastAsia="SimHei" w:cs="SimHei"/>
                          <w:sz w:val="27"/>
                          <w:szCs w:val="27"/>
                        </w:rPr>
                      </w:pPr>
                      <w:r>
                        <w:rPr>
                          <w:rFonts w:ascii="SimHei" w:hAnsi="SimHei" w:eastAsia="SimHei" w:cs="SimHei"/>
                          <w:sz w:val="27"/>
                          <w:szCs w:val="27"/>
                          <w:spacing w:val="7"/>
                        </w:rPr>
                        <w:t>扫描全能王创建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90"/>
        <w:spacing w:line="630" w:lineRule="exact"/>
        <w:rPr/>
      </w:pPr>
      <w:r>
        <w:rPr>
          <w:position w:val="-12"/>
        </w:rPr>
        <w:drawing>
          <wp:inline distT="0" distB="0" distL="0" distR="0">
            <wp:extent cx="400041" cy="40004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0041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378" w:right="190" w:bottom="400" w:left="1499" w:header="0" w:footer="0" w:gutter="0"/>
      <w:cols w:equalWidth="0" w:num="2">
        <w:col w:w="9390" w:space="100"/>
        <w:col w:w="7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2024-08-20T11:08:13Z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2024-08-20T11:08:13</vt:filetime>
  </property>
  <property fmtid="{D5CDD505-2E9C-101B-9397-08002B2CF9AE}" pid="4" name="UsrData">
    <vt:lpwstr>66c408999cf694001f210b6fwl</vt:lpwstr>
  </property>
</Properties>
</file>