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F80D"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67FAF92B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F6432FF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54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1DDE6022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533C8C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5月15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6EDD2B7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各基层医疗卫生机构开展居民健康体检，守护群众健康“第一道防线”</w:t>
      </w:r>
    </w:p>
    <w:p w14:paraId="4C158916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重点人群健康管理服务水平，按照2024年基本公共卫生服务项目工作安排，5月以来，奈曼旗卫健委组织辖区各基层医疗机构对辖区常住居民中的65岁及以上老年人群进行免费健康体检，落实随访管理，守护群众健康“第一道防线”。</w:t>
      </w:r>
    </w:p>
    <w:p w14:paraId="5868FDF3">
      <w:pPr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卫健委在年初全旗卫生健康工作会上安排部署了65岁及以上老年人健康体检工作，对业务工作进行全面详细培训。分管领导和相关股室工作人员第一时间下到基层，全力指导国家基本公共卫生服务项目工作开展。各卫生院和社区卫生服务中心及时安排部署辖区老年人体检工作，按照辖区行政村、组和居民小区分布情况，列出体检路线图和工作日程表，进一步明确职责分工，细化目标任务，有序组织开展老年人体检工作。</w:t>
      </w:r>
    </w:p>
    <w:p w14:paraId="33DA391A"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二是配强队伍力量。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月份奈曼旗各基层医疗卫生单位购买试剂材料、印制体检表格、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了检验、B超、心电图、体格检查等方面的专业技术力量，抽调业务能力强、专业技术过硬、工作认真负责的医护人员配备到体检队伍中，或在卫生院集中体检；或由副院长、防保站长、公卫负责人带队，携带各项医疗设备，深入到各村组、居民小区开展老年人免费健康体检工作，切实为辖区65岁及以上老年人免费健康体检工作顺利推进奠定了基础。</w:t>
      </w:r>
    </w:p>
    <w:p w14:paraId="2EA34D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三是强化工作措施。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卫生院在深入村组体检过程中，提前由村卫生室负责人宣传动员，做好65岁及以上老年人健康体检的发动组织。同时，针对检查项目中空腹血糖及血液检测的实际，卫生院医护人员每天早出晚归，为了能够早些为老人们体检，好让他们检查完吃早饭，早上6点多就走进了检查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在为老年人提供免费体检的同时通过问诊了解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老年人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健康基本状况，如：饮食、吸烟、饮酒等既往所患疾病、治疗及目前用药生活自理情况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仔细填写一张年度健康体检表，有针对性对老年人进行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健康生活方式宣讲，赠送一份健康保健资料，进行一次中医体质辨识，建立一个微信沟通平台，告知健康体检结果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健康指导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想方设法做好老年人年度健康体检工作。</w:t>
      </w:r>
    </w:p>
    <w:p w14:paraId="5F19C3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四是优化服务流程。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在进村和居民小区体检的过程中，针对部分老人患病在家的实际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在南部山区和北部沙区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都要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携带设备上门入户进行为其体检，量血压、测血糖、做心电、采血等。并根据老年患者的基本情况，面对面为其进行健康指导和用药指导，积极帮助其恢复健康。受到了老人们的一致好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65岁及以上老年人免费健康体检工作进展良好。</w:t>
      </w:r>
    </w:p>
    <w:p w14:paraId="29F11A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616575" cy="3517900"/>
            <wp:effectExtent l="0" t="0" r="3175" b="6350"/>
            <wp:docPr id="4" name="图片 4" descr="81c49779a33f2c19a4e2c72e2d9b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c49779a33f2c19a4e2c72e2d9b4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D4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607050" cy="3708400"/>
            <wp:effectExtent l="0" t="0" r="12700" b="6350"/>
            <wp:docPr id="3" name="图片 3" descr="9b1915c5406c3f1d8af702107ba8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1915c5406c3f1d8af702107ba8b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A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33670" cy="3296920"/>
            <wp:effectExtent l="0" t="0" r="5080" b="17780"/>
            <wp:docPr id="6" name="图片 6" descr="a35ff4aad069350ceb831fb7b96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5ff4aad069350ceb831fb7b9688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ED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26685" cy="3338195"/>
            <wp:effectExtent l="0" t="0" r="12065" b="14605"/>
            <wp:docPr id="1" name="图片 1" descr="4f9382adda947152477a1613597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9382adda947152477a161359799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BC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591F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供稿：卫健委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齐梦妮</w:t>
      </w:r>
    </w:p>
    <w:p w14:paraId="153C3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审核：卫健委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包金山</w:t>
      </w:r>
    </w:p>
    <w:p w14:paraId="16160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终审：卫健委刘海燕</w:t>
      </w:r>
    </w:p>
    <w:p w14:paraId="7A151C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  <w:docVar w:name="KSO_WPS_MARK_KEY" w:val="166f2a56-a6cd-4b38-977d-846c7fecc612"/>
  </w:docVars>
  <w:rsids>
    <w:rsidRoot w:val="11576DD7"/>
    <w:rsid w:val="01FC1240"/>
    <w:rsid w:val="11576DD7"/>
    <w:rsid w:val="2EA731A5"/>
    <w:rsid w:val="3FA65FE9"/>
    <w:rsid w:val="418C6530"/>
    <w:rsid w:val="4D7B242B"/>
    <w:rsid w:val="742223BE"/>
    <w:rsid w:val="759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1069</Words>
  <Characters>1082</Characters>
  <Lines>0</Lines>
  <Paragraphs>0</Paragraphs>
  <TotalTime>11</TotalTime>
  <ScaleCrop>false</ScaleCrop>
  <LinksUpToDate>false</LinksUpToDate>
  <CharactersWithSpaces>1090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2024-05-15T08:19:00Z</dcterms:created>
  <dc:creator>齊夢妮</dc:creator>
  <cp:lastModifiedBy>预则立</cp:lastModifiedBy>
  <dcterms:modified xsi:type="dcterms:W3CDTF">2024-08-14T02:25:29Z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C68E2CA918CB45FE830FEECF4FBCC324_13</vt:lpwstr>
  </property>
</Properties>
</file>