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F927A">
      <w:pPr>
        <w:pStyle w:val="5"/>
        <w:snapToGrid/>
        <w:spacing w:line="360" w:lineRule="auto"/>
        <w:ind w:left="0"/>
        <w:jc w:val="center"/>
        <w:textAlignment w:val="auto"/>
        <w:rPr>
          <w:rFonts w:ascii="黑体" w:hAnsi="黑体" w:eastAsia="黑体"/>
          <w:sz w:val="96"/>
        </w:rPr>
      </w:pPr>
      <w:bookmarkStart w:id="0" w:name="_GoBack"/>
      <w:bookmarkEnd w:id="0"/>
      <w:r>
        <w:rPr>
          <w:rFonts w:hint="eastAsia" w:ascii="黑体" w:hAnsi="黑体" w:eastAsia="黑体"/>
          <w:sz w:val="96"/>
        </w:rPr>
        <w:t>卫生健康信息</w:t>
      </w:r>
    </w:p>
    <w:p w14:paraId="6221BE48">
      <w:pPr>
        <w:pStyle w:val="5"/>
        <w:snapToGrid/>
        <w:spacing w:line="360" w:lineRule="auto"/>
        <w:ind w:left="0"/>
        <w:jc w:val="center"/>
        <w:textAlignment w:val="auto"/>
        <w:rPr>
          <w:rFonts w:ascii="仿宋_GB2312" w:hAnsi="仿宋_GB2312" w:eastAsia="仿宋_GB2312" w:cs="仿宋_GB2312"/>
          <w:sz w:val="32"/>
          <w:szCs w:val="32"/>
        </w:rPr>
      </w:pPr>
    </w:p>
    <w:p w14:paraId="2EFFD4AE">
      <w:pPr>
        <w:pStyle w:val="5"/>
        <w:snapToGrid/>
        <w:spacing w:line="360" w:lineRule="auto"/>
        <w:ind w:left="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期）</w:t>
      </w:r>
    </w:p>
    <w:p w14:paraId="601E1657">
      <w:pPr>
        <w:pStyle w:val="5"/>
        <w:snapToGrid/>
        <w:spacing w:line="360" w:lineRule="auto"/>
        <w:ind w:left="0"/>
        <w:jc w:val="center"/>
        <w:textAlignment w:val="auto"/>
        <w:rPr>
          <w:rFonts w:ascii="仿宋_GB2312" w:hAnsi="仿宋_GB2312" w:eastAsia="仿宋_GB2312" w:cs="仿宋_GB2312"/>
          <w:sz w:val="32"/>
          <w:szCs w:val="32"/>
        </w:rPr>
      </w:pPr>
    </w:p>
    <w:p w14:paraId="667FEA13">
      <w:pPr>
        <w:spacing w:line="560" w:lineRule="exact"/>
        <w:jc w:val="center"/>
        <w:rPr>
          <w:rFonts w:hint="eastAsia" w:ascii="方正小标宋简体" w:hAnsi="方正小标宋简体" w:eastAsia="方正小标宋简体" w:cs="方正小标宋简体"/>
          <w:sz w:val="40"/>
          <w:szCs w:val="40"/>
          <w:lang w:eastAsia="zh-CN"/>
        </w:rPr>
      </w:pPr>
      <w:r>
        <w:rPr>
          <w:rFonts w:hint="eastAsia" w:ascii="仿宋_GB2312" w:eastAsia="仿宋_GB2312"/>
          <w:sz w:val="32"/>
          <w:u w:val="single"/>
        </w:rPr>
        <w:t xml:space="preserve">奈曼旗卫健系统党委 </w:t>
      </w:r>
      <w:r>
        <w:rPr>
          <w:rFonts w:hint="eastAsia" w:ascii="仿宋_GB2312" w:eastAsia="仿宋_GB2312"/>
          <w:sz w:val="32"/>
          <w:u w:val="single"/>
          <w:lang w:val="en-US" w:eastAsia="zh-CN"/>
        </w:rPr>
        <w:t xml:space="preserve">  </w:t>
      </w:r>
      <w:r>
        <w:rPr>
          <w:rFonts w:hint="eastAsia" w:ascii="仿宋_GB2312" w:eastAsia="仿宋_GB2312"/>
          <w:sz w:val="32"/>
          <w:u w:val="single"/>
        </w:rPr>
        <w:t>奈曼旗卫健委</w:t>
      </w:r>
      <w:r>
        <w:rPr>
          <w:rFonts w:hint="eastAsia" w:ascii="仿宋_GB2312" w:eastAsia="仿宋_GB2312"/>
          <w:sz w:val="32"/>
          <w:u w:val="single"/>
          <w:lang w:val="en-US" w:eastAsia="zh-CN"/>
        </w:rPr>
        <w:t xml:space="preserve">   </w:t>
      </w:r>
      <w:r>
        <w:rPr>
          <w:rFonts w:hint="eastAsia" w:ascii="仿宋_GB2312" w:eastAsia="仿宋_GB2312"/>
          <w:sz w:val="32"/>
          <w:u w:val="single"/>
        </w:rPr>
        <w:t>20</w:t>
      </w:r>
      <w:r>
        <w:rPr>
          <w:rFonts w:hint="eastAsia" w:ascii="仿宋_GB2312" w:eastAsia="仿宋_GB2312"/>
          <w:sz w:val="32"/>
          <w:u w:val="single"/>
          <w:lang w:val="en-US" w:eastAsia="zh-CN"/>
        </w:rPr>
        <w:t>24</w:t>
      </w:r>
      <w:r>
        <w:rPr>
          <w:rFonts w:hint="eastAsia" w:ascii="仿宋_GB2312" w:eastAsia="仿宋_GB2312"/>
          <w:sz w:val="32"/>
          <w:u w:val="single"/>
        </w:rPr>
        <w:t>年</w:t>
      </w:r>
      <w:r>
        <w:rPr>
          <w:rFonts w:hint="eastAsia" w:ascii="仿宋_GB2312" w:eastAsia="仿宋_GB2312"/>
          <w:sz w:val="32"/>
          <w:u w:val="single"/>
          <w:lang w:val="en-US" w:eastAsia="zh-CN"/>
        </w:rPr>
        <w:t>4月22</w:t>
      </w:r>
      <w:r>
        <w:rPr>
          <w:rFonts w:hint="eastAsia" w:ascii="仿宋_GB2312" w:eastAsia="仿宋_GB2312"/>
          <w:sz w:val="32"/>
          <w:u w:val="single"/>
        </w:rPr>
        <w:t>日</w:t>
      </w:r>
    </w:p>
    <w:p w14:paraId="3C2DFC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方正小标宋简体" w:hAnsi="方正小标宋简体" w:eastAsia="方正小标宋简体" w:cs="方正小标宋简体"/>
          <w:sz w:val="40"/>
          <w:szCs w:val="40"/>
          <w:lang w:eastAsia="zh-CN"/>
        </w:rPr>
      </w:pPr>
      <w:r>
        <w:rPr>
          <w:rFonts w:hint="eastAsia" w:ascii="方正小标宋简体" w:hAnsi="方正小标宋简体" w:eastAsia="方正小标宋简体" w:cs="方正小标宋简体"/>
          <w:sz w:val="40"/>
          <w:szCs w:val="40"/>
          <w:lang w:eastAsia="zh-CN"/>
        </w:rPr>
        <w:t>奈曼旗卫健委开展</w:t>
      </w:r>
      <w:r>
        <w:rPr>
          <w:rFonts w:hint="eastAsia" w:ascii="方正小标宋简体" w:hAnsi="方正小标宋简体" w:eastAsia="方正小标宋简体" w:cs="方正小标宋简体"/>
          <w:sz w:val="40"/>
          <w:szCs w:val="40"/>
        </w:rPr>
        <w:t>全民国家安全教育日</w:t>
      </w:r>
      <w:r>
        <w:rPr>
          <w:rFonts w:hint="eastAsia" w:ascii="方正小标宋简体" w:hAnsi="方正小标宋简体" w:eastAsia="方正小标宋简体" w:cs="方正小标宋简体"/>
          <w:sz w:val="40"/>
          <w:szCs w:val="40"/>
          <w:lang w:eastAsia="zh-CN"/>
        </w:rPr>
        <w:t>活动</w:t>
      </w:r>
    </w:p>
    <w:p w14:paraId="5624383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rPr>
      </w:pPr>
    </w:p>
    <w:p w14:paraId="36FABE6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4月15日是第</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个全民国家安全教育日，也是《中华人民共和国生物安全法》正式实施</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周年，今年的活动主题是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总体国家安全观·创新引领10周年”。为全面加强生物安全法律法规和生物安全知识宣传普及，</w:t>
      </w:r>
      <w:r>
        <w:rPr>
          <w:rFonts w:hint="eastAsia" w:ascii="仿宋_GB2312" w:hAnsi="仿宋_GB2312" w:eastAsia="仿宋_GB2312" w:cs="仿宋_GB2312"/>
          <w:sz w:val="32"/>
          <w:szCs w:val="32"/>
          <w:lang w:eastAsia="zh-CN"/>
        </w:rPr>
        <w:t>奈曼旗</w:t>
      </w:r>
      <w:r>
        <w:rPr>
          <w:rFonts w:hint="eastAsia" w:ascii="仿宋_GB2312" w:hAnsi="仿宋_GB2312" w:eastAsia="仿宋_GB2312" w:cs="仿宋_GB2312"/>
          <w:sz w:val="32"/>
          <w:szCs w:val="32"/>
        </w:rPr>
        <w:t>卫健系统积极组织开展生物安全宣传教育活动。</w:t>
      </w:r>
    </w:p>
    <w:p w14:paraId="49AFCE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sz w:val="36"/>
          <w:szCs w:val="36"/>
        </w:rPr>
      </w:pPr>
      <w:r>
        <w:rPr>
          <w:rFonts w:hint="eastAsia" w:ascii="黑体" w:hAnsi="黑体" w:eastAsia="黑体" w:cs="黑体"/>
          <w:sz w:val="36"/>
          <w:szCs w:val="36"/>
          <w:lang w:eastAsia="zh-CN"/>
        </w:rPr>
        <w:t>奈曼旗妇幼保健计划生育服务中心</w:t>
      </w:r>
    </w:p>
    <w:p w14:paraId="135F998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4月14日上午，</w:t>
      </w:r>
      <w:r>
        <w:rPr>
          <w:rFonts w:hint="eastAsia" w:ascii="仿宋_GB2312" w:hAnsi="仿宋_GB2312" w:eastAsia="仿宋_GB2312" w:cs="仿宋_GB2312"/>
          <w:sz w:val="32"/>
          <w:szCs w:val="32"/>
          <w:lang w:eastAsia="zh-CN"/>
        </w:rPr>
        <w:t>奈曼旗妇幼保健计划生育服务中心</w:t>
      </w:r>
      <w:r>
        <w:rPr>
          <w:rFonts w:hint="eastAsia" w:ascii="仿宋_GB2312" w:hAnsi="仿宋_GB2312" w:eastAsia="仿宋_GB2312" w:cs="仿宋_GB2312"/>
          <w:sz w:val="32"/>
          <w:szCs w:val="32"/>
        </w:rPr>
        <w:t>检验科主任组织全科人员进行学习生物安全法。全面了解生物安全法的定义，我国生物安全领域有哪些风险，维护生物安全法的原则是什么，重点学习如何应对突发新型传染病，加深了对生物安全工作的认识。</w:t>
      </w:r>
    </w:p>
    <w:p w14:paraId="3D2BBCA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Theme="minorEastAsia"/>
          <w:lang w:eastAsia="zh-CN"/>
        </w:rPr>
      </w:pPr>
      <w:r>
        <w:rPr>
          <w:rFonts w:hint="eastAsia" w:eastAsiaTheme="minorEastAsia"/>
          <w:lang w:eastAsia="zh-CN"/>
        </w:rPr>
        <w:drawing>
          <wp:inline distT="0" distB="0" distL="114300" distR="114300">
            <wp:extent cx="5260975" cy="2919095"/>
            <wp:effectExtent l="0" t="0" r="15875" b="14605"/>
            <wp:docPr id="1" name="图片 1" descr="ff8e8eede1799cecf895165967fa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f8e8eede1799cecf895165967fa4ee"/>
                    <pic:cNvPicPr>
                      <a:picLocks noChangeAspect="1"/>
                    </pic:cNvPicPr>
                  </pic:nvPicPr>
                  <pic:blipFill>
                    <a:blip r:embed="rId4"/>
                    <a:stretch>
                      <a:fillRect/>
                    </a:stretch>
                  </pic:blipFill>
                  <pic:spPr>
                    <a:xfrm>
                      <a:off x="0" y="0"/>
                      <a:ext cx="5260975" cy="2919095"/>
                    </a:xfrm>
                    <a:prstGeom prst="rect">
                      <a:avLst/>
                    </a:prstGeom>
                  </pic:spPr>
                </pic:pic>
              </a:graphicData>
            </a:graphic>
          </wp:inline>
        </w:drawing>
      </w:r>
    </w:p>
    <w:p w14:paraId="1538F50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Theme="minorEastAsia"/>
          <w:lang w:eastAsia="zh-CN"/>
        </w:rPr>
      </w:pPr>
      <w:r>
        <w:rPr>
          <w:rFonts w:hint="eastAsia" w:eastAsiaTheme="minorEastAsia"/>
          <w:lang w:eastAsia="zh-CN"/>
        </w:rPr>
        <w:drawing>
          <wp:inline distT="0" distB="0" distL="114300" distR="114300">
            <wp:extent cx="5260975" cy="3061970"/>
            <wp:effectExtent l="0" t="0" r="15875" b="5080"/>
            <wp:docPr id="2" name="图片 2" descr="e1278760e603c64c32fed48d2dcc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278760e603c64c32fed48d2dccc45"/>
                    <pic:cNvPicPr>
                      <a:picLocks noChangeAspect="1"/>
                    </pic:cNvPicPr>
                  </pic:nvPicPr>
                  <pic:blipFill>
                    <a:blip r:embed="rId5"/>
                    <a:stretch>
                      <a:fillRect/>
                    </a:stretch>
                  </pic:blipFill>
                  <pic:spPr>
                    <a:xfrm>
                      <a:off x="0" y="0"/>
                      <a:ext cx="5260975" cy="3061970"/>
                    </a:xfrm>
                    <a:prstGeom prst="rect">
                      <a:avLst/>
                    </a:prstGeom>
                  </pic:spPr>
                </pic:pic>
              </a:graphicData>
            </a:graphic>
          </wp:inline>
        </w:drawing>
      </w:r>
    </w:p>
    <w:p w14:paraId="55F55C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医院在门诊大厅显眼位置张贴了生物安全海报，利用电子显示屏滚动播放相关知识，并通过微官网发布科普。</w:t>
      </w:r>
    </w:p>
    <w:p w14:paraId="78C2FBC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sz w:val="32"/>
          <w:szCs w:val="32"/>
        </w:rPr>
      </w:pPr>
      <w:r>
        <w:rPr>
          <w:rFonts w:ascii="微软雅黑" w:hAnsi="微软雅黑" w:eastAsia="微软雅黑" w:cs="微软雅黑"/>
          <w:i w:val="0"/>
          <w:iCs w:val="0"/>
          <w:caps w:val="0"/>
          <w:spacing w:val="30"/>
          <w:sz w:val="21"/>
          <w:szCs w:val="21"/>
          <w:shd w:val="clear" w:fill="FEFEFE"/>
        </w:rPr>
        <w:drawing>
          <wp:inline distT="0" distB="0" distL="114300" distR="114300">
            <wp:extent cx="5153660" cy="4582795"/>
            <wp:effectExtent l="0" t="0" r="8890" b="8255"/>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
                    <pic:cNvPicPr>
                      <a:picLocks noChangeAspect="1"/>
                    </pic:cNvPicPr>
                  </pic:nvPicPr>
                  <pic:blipFill>
                    <a:blip r:embed="rId6"/>
                    <a:stretch>
                      <a:fillRect/>
                    </a:stretch>
                  </pic:blipFill>
                  <pic:spPr>
                    <a:xfrm>
                      <a:off x="0" y="0"/>
                      <a:ext cx="5153660" cy="4582795"/>
                    </a:xfrm>
                    <a:prstGeom prst="rect">
                      <a:avLst/>
                    </a:prstGeom>
                    <a:noFill/>
                    <a:ln w="9525">
                      <a:noFill/>
                    </a:ln>
                  </pic:spPr>
                </pic:pic>
              </a:graphicData>
            </a:graphic>
          </wp:inline>
        </w:drawing>
      </w:r>
    </w:p>
    <w:p w14:paraId="1F788C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医院向职工及广大群众共发放宣传册500余份，重点宣传什么是生物安全、生物安全的重要性，极大提升了医务人员及广大群众的国家安全意识。</w:t>
      </w:r>
    </w:p>
    <w:p w14:paraId="37F662D8">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奈曼旗人民医院</w:t>
      </w:r>
    </w:p>
    <w:p w14:paraId="43722C0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为了加强实验室安全规范，提高实验室安全防护意识，杜绝和减少实验室安全事故的发生、保障实验安全、工作人员安全和环境安全，</w:t>
      </w:r>
      <w:r>
        <w:rPr>
          <w:rFonts w:hint="eastAsia" w:ascii="仿宋_GB2312" w:hAnsi="仿宋_GB2312" w:eastAsia="仿宋_GB2312" w:cs="仿宋_GB2312"/>
          <w:sz w:val="32"/>
          <w:szCs w:val="32"/>
          <w:lang w:eastAsia="zh-CN"/>
        </w:rPr>
        <w:t>奈曼旗人民医院</w:t>
      </w:r>
      <w:r>
        <w:rPr>
          <w:rFonts w:hint="eastAsia" w:ascii="仿宋_GB2312" w:hAnsi="仿宋_GB2312" w:eastAsia="仿宋_GB2312" w:cs="仿宋_GB2312"/>
          <w:sz w:val="32"/>
          <w:szCs w:val="32"/>
        </w:rPr>
        <w:t>检验科进行了感染性样本溢洒生物安全应急演练。</w:t>
      </w:r>
    </w:p>
    <w:p w14:paraId="561EC4F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sz w:val="32"/>
          <w:szCs w:val="32"/>
        </w:rPr>
      </w:pPr>
      <w:r>
        <w:rPr>
          <w:rFonts w:ascii="宋体" w:hAnsi="宋体" w:eastAsia="宋体" w:cs="宋体"/>
          <w:sz w:val="24"/>
          <w:szCs w:val="24"/>
        </w:rPr>
        <w:br w:type="textWrapping"/>
      </w:r>
      <w:r>
        <w:rPr>
          <w:rFonts w:ascii="微软雅黑" w:hAnsi="微软雅黑" w:eastAsia="微软雅黑" w:cs="微软雅黑"/>
          <w:i w:val="0"/>
          <w:iCs w:val="0"/>
          <w:caps w:val="0"/>
          <w:spacing w:val="30"/>
          <w:sz w:val="21"/>
          <w:szCs w:val="21"/>
          <w:shd w:val="clear" w:fill="FEFEFE"/>
        </w:rPr>
        <w:drawing>
          <wp:inline distT="0" distB="0" distL="114300" distR="114300">
            <wp:extent cx="5883275" cy="4460240"/>
            <wp:effectExtent l="0" t="0" r="3175" b="1651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
                    <pic:cNvPicPr>
                      <a:picLocks noChangeAspect="1"/>
                    </pic:cNvPicPr>
                  </pic:nvPicPr>
                  <pic:blipFill>
                    <a:blip r:embed="rId7"/>
                    <a:stretch>
                      <a:fillRect/>
                    </a:stretch>
                  </pic:blipFill>
                  <pic:spPr>
                    <a:xfrm>
                      <a:off x="0" y="0"/>
                      <a:ext cx="5883275" cy="4460240"/>
                    </a:xfrm>
                    <a:prstGeom prst="rect">
                      <a:avLst/>
                    </a:prstGeom>
                    <a:noFill/>
                    <a:ln w="9525">
                      <a:noFill/>
                    </a:ln>
                  </pic:spPr>
                </pic:pic>
              </a:graphicData>
            </a:graphic>
          </wp:inline>
        </w:drawing>
      </w:r>
    </w:p>
    <w:p w14:paraId="3DF52C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通过此次生物安全应急演练，进一步提高实验室工作人员的专业技术素养和生物安全防护水平，加深了对生物安全工作的认识。</w:t>
      </w:r>
    </w:p>
    <w:p w14:paraId="5926060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演练结束后，专业技术人员再次进行生物安全法学习，营造了浓厚的安全教育学习氛围。</w:t>
      </w:r>
    </w:p>
    <w:p w14:paraId="114DDCA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奈曼旗疾病预防控制中心</w:t>
      </w:r>
    </w:p>
    <w:p w14:paraId="2E1674F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奈曼旗疾病预防控制中心</w:t>
      </w:r>
      <w:r>
        <w:rPr>
          <w:rFonts w:hint="eastAsia" w:ascii="仿宋_GB2312" w:hAnsi="仿宋_GB2312" w:eastAsia="仿宋_GB2312" w:cs="仿宋_GB2312"/>
          <w:sz w:val="32"/>
          <w:szCs w:val="32"/>
        </w:rPr>
        <w:t>检验科开展实验室生物安全知识培训，现场解读了《中华人民共和国生物安全法》等相关法律法规细则内容，要求全科人员严格遵守生物安全法，进一步增强防范和应对生物安全风险的意识，防止生物安全事故发生，并组织全体党员干部观看全民国家安全教育日宣传片，使得“国家安全，全民守护”的观念深入人心。</w:t>
      </w:r>
    </w:p>
    <w:p w14:paraId="00D321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098415" cy="2660015"/>
            <wp:effectExtent l="0" t="0" r="6985" b="6985"/>
            <wp:docPr id="4" name="图片 4" descr="b5bbfca61472be4ef3c7f66d836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5bbfca61472be4ef3c7f66d8368256"/>
                    <pic:cNvPicPr>
                      <a:picLocks noChangeAspect="1"/>
                    </pic:cNvPicPr>
                  </pic:nvPicPr>
                  <pic:blipFill>
                    <a:blip r:embed="rId8"/>
                    <a:stretch>
                      <a:fillRect/>
                    </a:stretch>
                  </pic:blipFill>
                  <pic:spPr>
                    <a:xfrm>
                      <a:off x="0" y="0"/>
                      <a:ext cx="5098415" cy="2660015"/>
                    </a:xfrm>
                    <a:prstGeom prst="rect">
                      <a:avLst/>
                    </a:prstGeom>
                  </pic:spPr>
                </pic:pic>
              </a:graphicData>
            </a:graphic>
          </wp:inline>
        </w:drawing>
      </w:r>
    </w:p>
    <w:p w14:paraId="748382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124450" cy="2923540"/>
            <wp:effectExtent l="0" t="0" r="0" b="10160"/>
            <wp:docPr id="6" name="图片 6" descr="19fcd6a6ce0ed91c2937c9c2e240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fcd6a6ce0ed91c2937c9c2e2409fd"/>
                    <pic:cNvPicPr>
                      <a:picLocks noChangeAspect="1"/>
                    </pic:cNvPicPr>
                  </pic:nvPicPr>
                  <pic:blipFill>
                    <a:blip r:embed="rId9"/>
                    <a:stretch>
                      <a:fillRect/>
                    </a:stretch>
                  </pic:blipFill>
                  <pic:spPr>
                    <a:xfrm>
                      <a:off x="0" y="0"/>
                      <a:ext cx="5124450" cy="2923540"/>
                    </a:xfrm>
                    <a:prstGeom prst="rect">
                      <a:avLst/>
                    </a:prstGeom>
                  </pic:spPr>
                </pic:pic>
              </a:graphicData>
            </a:graphic>
          </wp:inline>
        </w:drawing>
      </w:r>
    </w:p>
    <w:p w14:paraId="464773F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sz w:val="32"/>
          <w:szCs w:val="32"/>
        </w:rPr>
      </w:pPr>
      <w:r>
        <w:rPr>
          <w:rFonts w:hint="eastAsia" w:eastAsiaTheme="minorEastAsia"/>
          <w:sz w:val="28"/>
          <w:szCs w:val="28"/>
          <w:lang w:eastAsia="zh-CN"/>
        </w:rPr>
        <w:drawing>
          <wp:inline distT="0" distB="0" distL="114300" distR="114300">
            <wp:extent cx="5267325" cy="2871470"/>
            <wp:effectExtent l="0" t="0" r="9525" b="5080"/>
            <wp:docPr id="3" name="图片 3" descr="c1fc692b02ba0461542855b826fb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1fc692b02ba0461542855b826fb541"/>
                    <pic:cNvPicPr>
                      <a:picLocks noChangeAspect="1"/>
                    </pic:cNvPicPr>
                  </pic:nvPicPr>
                  <pic:blipFill>
                    <a:blip r:embed="rId10"/>
                    <a:stretch>
                      <a:fillRect/>
                    </a:stretch>
                  </pic:blipFill>
                  <pic:spPr>
                    <a:xfrm>
                      <a:off x="0" y="0"/>
                      <a:ext cx="5267325" cy="2871470"/>
                    </a:xfrm>
                    <a:prstGeom prst="rect">
                      <a:avLst/>
                    </a:prstGeom>
                  </pic:spPr>
                </pic:pic>
              </a:graphicData>
            </a:graphic>
          </wp:inline>
        </w:drawing>
      </w:r>
    </w:p>
    <w:p w14:paraId="537D36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各乡镇卫生院等医疗机构积极响应，结合医院实际情况，在门诊大厅LED显示屏滚动播放宣传标语、通过五进健康义诊，健康宣传活动，切实扎实做好生物安全宣传周主题宣传活动。</w:t>
      </w:r>
    </w:p>
    <w:p w14:paraId="54075AC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35575" cy="6981190"/>
            <wp:effectExtent l="0" t="0" r="3175" b="10160"/>
            <wp:docPr id="30" name="图片 30" descr="fa8b4414fe60d4dddb5a1fc5f50a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a8b4414fe60d4dddb5a1fc5f50aa5a"/>
                    <pic:cNvPicPr>
                      <a:picLocks noChangeAspect="1"/>
                    </pic:cNvPicPr>
                  </pic:nvPicPr>
                  <pic:blipFill>
                    <a:blip r:embed="rId11"/>
                    <a:stretch>
                      <a:fillRect/>
                    </a:stretch>
                  </pic:blipFill>
                  <pic:spPr>
                    <a:xfrm>
                      <a:off x="0" y="0"/>
                      <a:ext cx="5235575" cy="6981190"/>
                    </a:xfrm>
                    <a:prstGeom prst="rect">
                      <a:avLst/>
                    </a:prstGeom>
                  </pic:spPr>
                </pic:pic>
              </a:graphicData>
            </a:graphic>
          </wp:inline>
        </w:drawing>
      </w:r>
    </w:p>
    <w:p w14:paraId="1F3B593B">
      <w:pPr>
        <w:keepNext w:val="0"/>
        <w:keepLines w:val="0"/>
        <w:widowControl/>
        <w:suppressLineNumbers w:val="0"/>
        <w:spacing w:after="240" w:afterAutospacing="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55260" cy="3941445"/>
            <wp:effectExtent l="0" t="0" r="2540" b="1905"/>
            <wp:docPr id="24" name="图片 24" descr="d4f011ac92e4597ac4cab71a9e70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4f011ac92e4597ac4cab71a9e706fb"/>
                    <pic:cNvPicPr>
                      <a:picLocks noChangeAspect="1"/>
                    </pic:cNvPicPr>
                  </pic:nvPicPr>
                  <pic:blipFill>
                    <a:blip r:embed="rId12"/>
                    <a:stretch>
                      <a:fillRect/>
                    </a:stretch>
                  </pic:blipFill>
                  <pic:spPr>
                    <a:xfrm>
                      <a:off x="0" y="0"/>
                      <a:ext cx="5255260" cy="3941445"/>
                    </a:xfrm>
                    <a:prstGeom prst="rect">
                      <a:avLst/>
                    </a:prstGeom>
                  </pic:spPr>
                </pic:pic>
              </a:graphicData>
            </a:graphic>
          </wp:inline>
        </w:drawing>
      </w:r>
    </w:p>
    <w:p w14:paraId="38648FB5">
      <w:pPr>
        <w:keepNext w:val="0"/>
        <w:keepLines w:val="0"/>
        <w:widowControl/>
        <w:suppressLineNumbers w:val="0"/>
        <w:spacing w:after="240" w:afterAutospacing="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2962910"/>
            <wp:effectExtent l="0" t="0" r="10160" b="8890"/>
            <wp:docPr id="25" name="图片 25" descr="9d9829ff946375364ba3a2bd081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d9829ff946375364ba3a2bd0819840"/>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14:paraId="368D95A8">
      <w:pPr>
        <w:keepNext w:val="0"/>
        <w:keepLines w:val="0"/>
        <w:widowControl/>
        <w:suppressLineNumbers w:val="0"/>
        <w:spacing w:after="240" w:afterAutospacing="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2962910"/>
            <wp:effectExtent l="0" t="0" r="10160" b="8890"/>
            <wp:docPr id="26" name="图片 26" descr="9e9377675b935d08119d506e8629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e9377675b935d08119d506e8629b35"/>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p>
    <w:p w14:paraId="0972FB2A">
      <w:pPr>
        <w:keepNext w:val="0"/>
        <w:keepLines w:val="0"/>
        <w:widowControl/>
        <w:suppressLineNumbers w:val="0"/>
        <w:spacing w:after="240" w:afterAutospacing="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33670" cy="3924935"/>
            <wp:effectExtent l="0" t="0" r="5080" b="18415"/>
            <wp:docPr id="27" name="图片 27" descr="7bf7dafa194a33ad0cd428d9fe98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bf7dafa194a33ad0cd428d9fe989e4"/>
                    <pic:cNvPicPr>
                      <a:picLocks noChangeAspect="1"/>
                    </pic:cNvPicPr>
                  </pic:nvPicPr>
                  <pic:blipFill>
                    <a:blip r:embed="rId15"/>
                    <a:stretch>
                      <a:fillRect/>
                    </a:stretch>
                  </pic:blipFill>
                  <pic:spPr>
                    <a:xfrm>
                      <a:off x="0" y="0"/>
                      <a:ext cx="5233670" cy="3924935"/>
                    </a:xfrm>
                    <a:prstGeom prst="rect">
                      <a:avLst/>
                    </a:prstGeom>
                  </pic:spPr>
                </pic:pic>
              </a:graphicData>
            </a:graphic>
          </wp:inline>
        </w:drawing>
      </w:r>
    </w:p>
    <w:p w14:paraId="5483DBD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4月1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日，奈曼旗卫健委积极组织干部职工开展普法学习测试，进一步提高干部职工国家安全保密意识、合规守纪意识、风险防范意识。</w:t>
      </w:r>
    </w:p>
    <w:p w14:paraId="5D8767D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3511550"/>
            <wp:effectExtent l="0" t="0" r="10160" b="12700"/>
            <wp:docPr id="28" name="图片 28" descr="IMG_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121"/>
                    <pic:cNvPicPr>
                      <a:picLocks noChangeAspect="1"/>
                    </pic:cNvPicPr>
                  </pic:nvPicPr>
                  <pic:blipFill>
                    <a:blip r:embed="rId16"/>
                    <a:stretch>
                      <a:fillRect/>
                    </a:stretch>
                  </pic:blipFill>
                  <pic:spPr>
                    <a:xfrm>
                      <a:off x="0" y="0"/>
                      <a:ext cx="5266690" cy="3511550"/>
                    </a:xfrm>
                    <a:prstGeom prst="rect">
                      <a:avLst/>
                    </a:prstGeom>
                  </pic:spPr>
                </pic:pic>
              </a:graphicData>
            </a:graphic>
          </wp:inline>
        </w:drawing>
      </w:r>
    </w:p>
    <w:p w14:paraId="0DE1B8C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奈曼旗卫健委将根据自身实际和行业特点继续开展关于国家安全观的宣传活动，为广大人民群众普及国家安全观以及《生物安全法》，切实提升广大群众防范和抵御安全风险的意识能力，为打造人人有责、人人尽责、人人享有的社会治理共同体，奠定坚实的思想基础、营造良好的社会氛围。</w:t>
      </w:r>
    </w:p>
    <w:p w14:paraId="7E6FFFF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sz w:val="32"/>
          <w:szCs w:val="32"/>
        </w:rPr>
      </w:pPr>
    </w:p>
    <w:p w14:paraId="32418D1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sz w:val="32"/>
          <w:szCs w:val="32"/>
        </w:rPr>
      </w:pPr>
    </w:p>
    <w:p w14:paraId="04F656A7">
      <w:pPr>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供稿：卫健委齐梦妮</w:t>
      </w:r>
    </w:p>
    <w:p w14:paraId="54FFCC77">
      <w:pPr>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审核：卫健委于文君</w:t>
      </w:r>
    </w:p>
    <w:p w14:paraId="3EC3540B">
      <w:pPr>
        <w:wordWrap w:val="0"/>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终审：卫健委刘海燕</w:t>
      </w:r>
    </w:p>
    <w:p w14:paraId="06FE43B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lYjUwMDdmZjNlYTZlZjMzYTg5YThmMDRiYmUxMDkifQ=="/>
  </w:docVars>
  <w:rsids>
    <w:rsidRoot w:val="248008C2"/>
    <w:rsid w:val="10BC53FF"/>
    <w:rsid w:val="13283B15"/>
    <w:rsid w:val="24800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customStyle="1" w:styleId="5">
    <w:name w:val="0"/>
    <w:basedOn w:val="1"/>
    <w:autoRedefine/>
    <w:qFormat/>
    <w:uiPriority w:val="0"/>
    <w:pPr>
      <w:widowControl/>
      <w:snapToGrid w:val="0"/>
      <w:spacing w:line="365" w:lineRule="atLeast"/>
      <w:ind w:left="1"/>
      <w:textAlignment w:val="bottom"/>
    </w:pPr>
    <w:rPr>
      <w:kern w:val="0"/>
      <w:sz w:val="2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1058</Words>
  <Characters>1071</Characters>
  <Lines>0</Lines>
  <Paragraphs>0</Paragraphs>
  <TotalTime>1</TotalTime>
  <ScaleCrop>false</ScaleCrop>
  <LinksUpToDate>false</LinksUpToDate>
  <CharactersWithSpaces>1079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2024-04-19T02:03:00Z</dcterms:created>
  <dc:creator>齊夢妮</dc:creator>
  <cp:lastModifiedBy>预则立</cp:lastModifiedBy>
  <dcterms:modified xsi:type="dcterms:W3CDTF">2024-08-14T02:25:20Z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7805EBB32C7645D8A7BEE4D29F9C4201_11</vt:lpwstr>
  </property>
</Properties>
</file>