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23F0EDD">
      <w:pPr>
        <w:pStyle w:val="5"/>
        <w:snapToGrid/>
        <w:spacing w:line="360" w:lineRule="auto"/>
        <w:ind w:left="0"/>
        <w:jc w:val="center"/>
        <w:textAlignment w:val="auto"/>
        <w:rPr>
          <w:rFonts w:ascii="黑体" w:hAnsi="黑体" w:eastAsia="黑体"/>
          <w:sz w:val="96"/>
        </w:rPr>
      </w:pPr>
      <w:bookmarkStart w:id="0" w:name="_GoBack"/>
      <w:bookmarkEnd w:id="0"/>
      <w:r>
        <w:rPr>
          <w:rFonts w:hint="eastAsia" w:ascii="黑体" w:hAnsi="黑体" w:eastAsia="黑体"/>
          <w:sz w:val="96"/>
        </w:rPr>
        <w:t>卫生健康信息</w:t>
      </w:r>
    </w:p>
    <w:p w14:paraId="5EF6055E">
      <w:pPr>
        <w:pStyle w:val="5"/>
        <w:snapToGrid/>
        <w:spacing w:line="360" w:lineRule="auto"/>
        <w:ind w:left="0"/>
        <w:jc w:val="center"/>
        <w:textAlignment w:val="auto"/>
        <w:rPr>
          <w:rFonts w:ascii="仿宋_GB2312" w:hAnsi="仿宋_GB2312" w:eastAsia="仿宋_GB2312" w:cs="仿宋_GB2312"/>
          <w:sz w:val="32"/>
          <w:szCs w:val="32"/>
        </w:rPr>
      </w:pPr>
    </w:p>
    <w:p w14:paraId="1FB0F9F9">
      <w:pPr>
        <w:pStyle w:val="5"/>
        <w:snapToGrid/>
        <w:spacing w:line="360" w:lineRule="auto"/>
        <w:ind w:left="0"/>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（第</w:t>
      </w:r>
      <w:r>
        <w:rPr>
          <w:rFonts w:hint="eastAsia" w:ascii="仿宋_GB2312" w:hAnsi="仿宋_GB2312" w:eastAsia="仿宋_GB2312" w:cs="仿宋_GB2312"/>
          <w:sz w:val="32"/>
          <w:szCs w:val="32"/>
          <w:lang w:val="en-US" w:eastAsia="zh-CN"/>
        </w:rPr>
        <w:t>56</w:t>
      </w:r>
      <w:r>
        <w:rPr>
          <w:rFonts w:hint="eastAsia" w:ascii="仿宋_GB2312" w:hAnsi="仿宋_GB2312" w:eastAsia="仿宋_GB2312" w:cs="仿宋_GB2312"/>
          <w:sz w:val="32"/>
          <w:szCs w:val="32"/>
        </w:rPr>
        <w:t>期）</w:t>
      </w:r>
    </w:p>
    <w:p w14:paraId="75E376A2">
      <w:pPr>
        <w:pStyle w:val="5"/>
        <w:snapToGrid/>
        <w:spacing w:line="360" w:lineRule="auto"/>
        <w:ind w:left="0"/>
        <w:jc w:val="center"/>
        <w:textAlignment w:val="auto"/>
        <w:rPr>
          <w:rFonts w:ascii="仿宋_GB2312" w:hAnsi="仿宋_GB2312" w:eastAsia="仿宋_GB2312" w:cs="仿宋_GB2312"/>
          <w:sz w:val="32"/>
          <w:szCs w:val="32"/>
        </w:rPr>
      </w:pPr>
    </w:p>
    <w:p w14:paraId="5E3E07AB">
      <w:pPr>
        <w:spacing w:line="560" w:lineRule="exact"/>
        <w:jc w:val="center"/>
        <w:rPr>
          <w:rFonts w:hint="eastAsia" w:ascii="方正小标宋简体" w:hAnsi="方正小标宋简体" w:eastAsia="方正小标宋简体" w:cs="方正小标宋简体"/>
          <w:sz w:val="36"/>
          <w:szCs w:val="36"/>
          <w:lang w:eastAsia="zh-CN"/>
        </w:rPr>
      </w:pPr>
      <w:r>
        <w:rPr>
          <w:rFonts w:hint="eastAsia" w:ascii="仿宋_GB2312" w:eastAsia="仿宋_GB2312"/>
          <w:sz w:val="32"/>
          <w:u w:val="single"/>
        </w:rPr>
        <w:t xml:space="preserve">奈曼旗卫健系统党委 </w:t>
      </w:r>
      <w:r>
        <w:rPr>
          <w:rFonts w:hint="eastAsia" w:ascii="仿宋_GB2312" w:eastAsia="仿宋_GB2312"/>
          <w:sz w:val="32"/>
          <w:u w:val="single"/>
          <w:lang w:val="en-US" w:eastAsia="zh-CN"/>
        </w:rPr>
        <w:t xml:space="preserve">  </w:t>
      </w:r>
      <w:r>
        <w:rPr>
          <w:rFonts w:hint="eastAsia" w:ascii="仿宋_GB2312" w:eastAsia="仿宋_GB2312"/>
          <w:sz w:val="32"/>
          <w:u w:val="single"/>
        </w:rPr>
        <w:t>奈曼旗卫健委</w:t>
      </w:r>
      <w:r>
        <w:rPr>
          <w:rFonts w:hint="eastAsia" w:ascii="仿宋_GB2312" w:eastAsia="仿宋_GB2312"/>
          <w:sz w:val="32"/>
          <w:u w:val="single"/>
          <w:lang w:val="en-US" w:eastAsia="zh-CN"/>
        </w:rPr>
        <w:t xml:space="preserve">   </w:t>
      </w:r>
      <w:r>
        <w:rPr>
          <w:rFonts w:hint="eastAsia" w:ascii="仿宋_GB2312" w:eastAsia="仿宋_GB2312"/>
          <w:sz w:val="32"/>
          <w:u w:val="single"/>
        </w:rPr>
        <w:t>20</w:t>
      </w:r>
      <w:r>
        <w:rPr>
          <w:rFonts w:hint="eastAsia" w:ascii="仿宋_GB2312" w:eastAsia="仿宋_GB2312"/>
          <w:sz w:val="32"/>
          <w:u w:val="single"/>
          <w:lang w:val="en-US" w:eastAsia="zh-CN"/>
        </w:rPr>
        <w:t>24</w:t>
      </w:r>
      <w:r>
        <w:rPr>
          <w:rFonts w:hint="eastAsia" w:ascii="仿宋_GB2312" w:eastAsia="仿宋_GB2312"/>
          <w:sz w:val="32"/>
          <w:u w:val="single"/>
        </w:rPr>
        <w:t>年</w:t>
      </w:r>
      <w:r>
        <w:rPr>
          <w:rFonts w:hint="eastAsia" w:ascii="仿宋_GB2312" w:eastAsia="仿宋_GB2312"/>
          <w:sz w:val="32"/>
          <w:u w:val="single"/>
          <w:lang w:val="en-US" w:eastAsia="zh-CN"/>
        </w:rPr>
        <w:t>5月20</w:t>
      </w:r>
      <w:r>
        <w:rPr>
          <w:rFonts w:hint="eastAsia" w:ascii="仿宋_GB2312" w:eastAsia="仿宋_GB2312"/>
          <w:sz w:val="32"/>
          <w:u w:val="single"/>
        </w:rPr>
        <w:t>日</w:t>
      </w:r>
    </w:p>
    <w:p w14:paraId="61D36EAC">
      <w:pPr>
        <w:jc w:val="center"/>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lang w:eastAsia="zh-CN"/>
        </w:rPr>
        <w:t>奈曼旗卫生健康委召开推进紧密型县域</w:t>
      </w:r>
    </w:p>
    <w:p w14:paraId="38F26263">
      <w:pPr>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eastAsia="zh-CN"/>
        </w:rPr>
        <w:t>医共体</w:t>
      </w:r>
      <w:r>
        <w:rPr>
          <w:rFonts w:hint="eastAsia" w:ascii="方正小标宋简体" w:hAnsi="方正小标宋简体" w:eastAsia="方正小标宋简体" w:cs="方正小标宋简体"/>
          <w:sz w:val="44"/>
          <w:szCs w:val="44"/>
          <w:lang w:val="en-US" w:eastAsia="zh-CN"/>
        </w:rPr>
        <w:t>工作部署会</w:t>
      </w:r>
    </w:p>
    <w:p w14:paraId="4D13D8F9">
      <w:pPr>
        <w:jc w:val="left"/>
        <w:rPr>
          <w:rFonts w:hint="eastAsia" w:ascii="仿宋_GB2312" w:hAnsi="仿宋_GB2312" w:eastAsia="仿宋_GB2312" w:cs="仿宋_GB2312"/>
          <w:b w:val="0"/>
          <w:bCs w:val="0"/>
          <w:sz w:val="32"/>
          <w:szCs w:val="32"/>
          <w:lang w:val="en-US" w:eastAsia="zh-CN"/>
        </w:rPr>
      </w:pPr>
      <w:r>
        <w:rPr>
          <w:rFonts w:hint="eastAsia" w:ascii="方正小标宋简体" w:hAnsi="方正小标宋简体" w:eastAsia="方正小标宋简体" w:cs="方正小标宋简体"/>
          <w:sz w:val="36"/>
          <w:szCs w:val="36"/>
          <w:lang w:val="en-US" w:eastAsia="zh-CN"/>
        </w:rPr>
        <w:t xml:space="preserve">   </w:t>
      </w:r>
      <w:r>
        <w:rPr>
          <w:rFonts w:hint="eastAsia" w:ascii="仿宋_GB2312" w:hAnsi="仿宋_GB2312" w:eastAsia="仿宋_GB2312" w:cs="仿宋_GB2312"/>
          <w:sz w:val="32"/>
          <w:szCs w:val="32"/>
          <w:lang w:val="en-US" w:eastAsia="zh-CN"/>
        </w:rPr>
        <w:t>为进一步深化奈曼旗医药卫生体制改革，推进我旗紧密型县域医共体建设，2024年5月20日在旗卫健委会议室召开关于</w:t>
      </w:r>
      <w:r>
        <w:rPr>
          <w:rFonts w:hint="eastAsia" w:ascii="仿宋_GB2312" w:hAnsi="仿宋_GB2312" w:eastAsia="仿宋_GB2312" w:cs="仿宋_GB2312"/>
          <w:sz w:val="32"/>
          <w:szCs w:val="32"/>
          <w:lang w:eastAsia="zh-CN"/>
        </w:rPr>
        <w:t>推进紧密型县域医共体</w:t>
      </w:r>
      <w:r>
        <w:rPr>
          <w:rFonts w:hint="eastAsia" w:ascii="仿宋_GB2312" w:hAnsi="仿宋_GB2312" w:eastAsia="仿宋_GB2312" w:cs="仿宋_GB2312"/>
          <w:sz w:val="32"/>
          <w:szCs w:val="32"/>
          <w:lang w:val="en-US" w:eastAsia="zh-CN"/>
        </w:rPr>
        <w:t>工作部署会</w:t>
      </w:r>
      <w:r>
        <w:rPr>
          <w:rFonts w:hint="eastAsia" w:ascii="仿宋_GB2312" w:hAnsi="仿宋_GB2312" w:eastAsia="仿宋_GB2312" w:cs="仿宋_GB2312"/>
          <w:b w:val="0"/>
          <w:bCs w:val="0"/>
          <w:sz w:val="32"/>
          <w:szCs w:val="32"/>
          <w:lang w:val="en-US" w:eastAsia="zh-CN"/>
        </w:rPr>
        <w:t>。</w:t>
      </w:r>
    </w:p>
    <w:p w14:paraId="5EFF305E">
      <w:pPr>
        <w:ind w:firstLine="640" w:firstLineChars="200"/>
        <w:jc w:val="left"/>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lang w:val="en-US" w:eastAsia="zh-CN"/>
        </w:rPr>
        <w:t>会上,</w:t>
      </w:r>
      <w:r>
        <w:rPr>
          <w:rFonts w:hint="eastAsia" w:ascii="仿宋_GB2312" w:hAnsi="仿宋_GB2312" w:eastAsia="仿宋_GB2312" w:cs="仿宋_GB2312"/>
          <w:b w:val="0"/>
          <w:bCs w:val="0"/>
          <w:sz w:val="32"/>
          <w:szCs w:val="32"/>
          <w:highlight w:val="none"/>
          <w:lang w:val="en-US" w:eastAsia="zh-CN"/>
        </w:rPr>
        <w:t>孟繁彦副主任传达了自治区推进医共体建设工作推进会会议精神，指出推进紧密型县域医共体建设对提升县域医疗卫生服务能力的重要性，也是今年基层卫生工作的主要任务。</w:t>
      </w:r>
      <w:r>
        <w:rPr>
          <w:rFonts w:hint="eastAsia" w:ascii="仿宋_GB2312" w:hAnsi="仿宋_GB2312" w:eastAsia="仿宋_GB2312" w:cs="仿宋_GB2312"/>
          <w:b w:val="0"/>
          <w:bCs w:val="0"/>
          <w:sz w:val="32"/>
          <w:szCs w:val="32"/>
          <w:lang w:val="en-US" w:eastAsia="zh-CN"/>
        </w:rPr>
        <w:t>张威主任通报了在浙江省东台市对紧密型县域数字化医共体建设的学习情况，张威主任指出，要统一思想，深刻认识医共体信息化建设的必要性和紧迫性，要认识到推动医共体建设是贯彻落实党中央决策部署的重要举措，是满足群众健康需求，推动卫生健康事业高质量发展的重要举措，是发扬改革精神，打造奈曼旗紧密型县域医共体的重要举措。</w:t>
      </w:r>
    </w:p>
    <w:p w14:paraId="3EF6541D">
      <w:pPr>
        <w:ind w:firstLine="640" w:firstLineChars="200"/>
        <w:jc w:val="both"/>
        <w:rPr>
          <w:rFonts w:hint="eastAsia" w:ascii="仿宋_GB2312" w:hAnsi="仿宋_GB2312" w:eastAsia="仿宋_GB2312" w:cs="仿宋_GB2312"/>
          <w:i w:val="0"/>
          <w:iCs w:val="0"/>
          <w:caps w:val="0"/>
          <w:color w:val="333333"/>
          <w:spacing w:val="0"/>
          <w:sz w:val="32"/>
          <w:szCs w:val="32"/>
          <w:shd w:val="clear" w:fill="FFFFFF"/>
        </w:rPr>
      </w:pPr>
      <w:r>
        <w:rPr>
          <w:rFonts w:hint="eastAsia" w:ascii="仿宋_GB2312" w:hAnsi="仿宋_GB2312" w:eastAsia="仿宋_GB2312" w:cs="仿宋_GB2312"/>
          <w:b w:val="0"/>
          <w:bCs w:val="0"/>
          <w:sz w:val="32"/>
          <w:szCs w:val="32"/>
          <w:highlight w:val="none"/>
          <w:lang w:val="en-US" w:eastAsia="zh-CN"/>
        </w:rPr>
        <w:t>会议研究决定加紧推进紧密型县域医共体信息化建设，推进医疗卫生信息共享，提升医疗卫生机构协同服务水平。同时促进医疗资源下沉，加强县域医共体总医院与各分院的合作，要求总医院派出专家给予帮扶指导，</w:t>
      </w:r>
      <w:r>
        <w:rPr>
          <w:rFonts w:hint="eastAsia" w:ascii="仿宋_GB2312" w:hAnsi="仿宋_GB2312" w:eastAsia="仿宋_GB2312" w:cs="仿宋_GB2312"/>
          <w:i w:val="0"/>
          <w:iCs w:val="0"/>
          <w:caps w:val="0"/>
          <w:color w:val="333333"/>
          <w:spacing w:val="0"/>
          <w:sz w:val="32"/>
          <w:szCs w:val="32"/>
          <w:shd w:val="clear" w:fill="FFFFFF"/>
        </w:rPr>
        <w:t>提升县域医共体服务能力和管理水平。</w:t>
      </w:r>
    </w:p>
    <w:p w14:paraId="51E8B89B">
      <w:pPr>
        <w:ind w:firstLine="640" w:firstLineChars="200"/>
        <w:jc w:val="both"/>
        <w:rPr>
          <w:rFonts w:hint="eastAsia" w:ascii="仿宋_GB2312" w:hAnsi="仿宋_GB2312" w:eastAsia="仿宋_GB2312" w:cs="仿宋_GB2312"/>
          <w:i w:val="0"/>
          <w:iCs w:val="0"/>
          <w:caps w:val="0"/>
          <w:color w:val="333333"/>
          <w:spacing w:val="0"/>
          <w:sz w:val="32"/>
          <w:szCs w:val="32"/>
          <w:shd w:val="clear" w:fill="FFFFFF"/>
        </w:rPr>
      </w:pPr>
      <w:r>
        <w:rPr>
          <w:rFonts w:hint="eastAsia" w:ascii="仿宋_GB2312" w:hAnsi="仿宋_GB2312" w:eastAsia="仿宋_GB2312" w:cs="仿宋_GB2312"/>
          <w:b w:val="0"/>
          <w:bCs w:val="0"/>
          <w:sz w:val="32"/>
          <w:szCs w:val="32"/>
          <w:lang w:val="en-US" w:eastAsia="zh-CN"/>
        </w:rPr>
        <w:t>卫健委主任张威、副主任孟繁彦、医政医管股、基层股、中蒙医股工作人员，奈曼旗人民医院书记王凌飞、院长魏永胜，紧密型医共体管理办公室等10余人参加会议。</w:t>
      </w:r>
    </w:p>
    <w:p w14:paraId="7FC87009">
      <w:pPr>
        <w:jc w:val="both"/>
        <w:rPr>
          <w:rFonts w:hint="eastAsia" w:ascii="方正小标宋简体" w:hAnsi="方正小标宋简体" w:eastAsia="方正小标宋简体" w:cs="方正小标宋简体"/>
          <w:sz w:val="36"/>
          <w:szCs w:val="36"/>
          <w:lang w:val="en-US" w:eastAsia="zh-CN"/>
        </w:rPr>
      </w:pPr>
      <w:r>
        <w:rPr>
          <w:rFonts w:hint="eastAsia" w:ascii="方正小标宋简体" w:hAnsi="方正小标宋简体" w:eastAsia="方正小标宋简体" w:cs="方正小标宋简体"/>
          <w:sz w:val="36"/>
          <w:szCs w:val="36"/>
          <w:lang w:val="en-US" w:eastAsia="zh-CN"/>
        </w:rPr>
        <w:drawing>
          <wp:inline distT="0" distB="0" distL="114300" distR="114300">
            <wp:extent cx="5222875" cy="3917315"/>
            <wp:effectExtent l="0" t="0" r="15875" b="6985"/>
            <wp:docPr id="1" name="图片 1" descr="d8a70d8bb8ff25ba0151f0c6f65f0f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d8a70d8bb8ff25ba0151f0c6f65f0fa"/>
                    <pic:cNvPicPr>
                      <a:picLocks noChangeAspect="1"/>
                    </pic:cNvPicPr>
                  </pic:nvPicPr>
                  <pic:blipFill>
                    <a:blip r:embed="rId4"/>
                    <a:stretch>
                      <a:fillRect/>
                    </a:stretch>
                  </pic:blipFill>
                  <pic:spPr>
                    <a:xfrm>
                      <a:off x="0" y="0"/>
                      <a:ext cx="5222875" cy="3917315"/>
                    </a:xfrm>
                    <a:prstGeom prst="rect">
                      <a:avLst/>
                    </a:prstGeom>
                  </pic:spPr>
                </pic:pic>
              </a:graphicData>
            </a:graphic>
          </wp:inline>
        </w:drawing>
      </w:r>
      <w:r>
        <w:rPr>
          <w:rFonts w:hint="eastAsia" w:ascii="方正小标宋简体" w:hAnsi="方正小标宋简体" w:eastAsia="方正小标宋简体" w:cs="方正小标宋简体"/>
          <w:sz w:val="36"/>
          <w:szCs w:val="36"/>
          <w:lang w:val="en-US" w:eastAsia="zh-CN"/>
        </w:rPr>
        <w:drawing>
          <wp:inline distT="0" distB="0" distL="114300" distR="114300">
            <wp:extent cx="5274310" cy="3955415"/>
            <wp:effectExtent l="0" t="0" r="2540" b="6985"/>
            <wp:docPr id="3" name="图片 3" descr="8a27f371882f44c4826212f69d5846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8a27f371882f44c4826212f69d5846a"/>
                    <pic:cNvPicPr>
                      <a:picLocks noChangeAspect="1"/>
                    </pic:cNvPicPr>
                  </pic:nvPicPr>
                  <pic:blipFill>
                    <a:blip r:embed="rId5"/>
                    <a:stretch>
                      <a:fillRect/>
                    </a:stretch>
                  </pic:blipFill>
                  <pic:spPr>
                    <a:xfrm>
                      <a:off x="0" y="0"/>
                      <a:ext cx="5274310" cy="3955415"/>
                    </a:xfrm>
                    <a:prstGeom prst="rect">
                      <a:avLst/>
                    </a:prstGeom>
                  </pic:spPr>
                </pic:pic>
              </a:graphicData>
            </a:graphic>
          </wp:inline>
        </w:drawing>
      </w:r>
    </w:p>
    <w:p w14:paraId="21E4BD03">
      <w:pPr>
        <w:jc w:val="both"/>
        <w:rPr>
          <w:rFonts w:hint="eastAsia" w:ascii="方正小标宋简体" w:hAnsi="方正小标宋简体" w:eastAsia="方正小标宋简体" w:cs="方正小标宋简体"/>
          <w:sz w:val="36"/>
          <w:szCs w:val="36"/>
          <w:lang w:val="en-US" w:eastAsia="zh-CN"/>
        </w:rPr>
      </w:pPr>
    </w:p>
    <w:p w14:paraId="36C03CBC">
      <w:pPr>
        <w:jc w:val="both"/>
        <w:rPr>
          <w:rFonts w:hint="eastAsia" w:ascii="方正小标宋简体" w:hAnsi="方正小标宋简体" w:eastAsia="方正小标宋简体" w:cs="方正小标宋简体"/>
          <w:b w:val="0"/>
          <w:bCs w:val="0"/>
          <w:sz w:val="36"/>
          <w:szCs w:val="36"/>
          <w:lang w:val="en-US" w:eastAsia="zh-CN"/>
        </w:rPr>
      </w:pPr>
    </w:p>
    <w:p w14:paraId="19131B2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0" w:afterAutospacing="0"/>
        <w:ind w:left="0" w:right="0" w:firstLine="0"/>
        <w:jc w:val="right"/>
        <w:rPr>
          <w:rFonts w:hint="eastAsia" w:ascii="微软雅黑" w:hAnsi="微软雅黑" w:eastAsia="仿宋_GB2312" w:cs="微软雅黑"/>
          <w:i w:val="0"/>
          <w:iCs w:val="0"/>
          <w:caps w:val="0"/>
          <w:spacing w:val="8"/>
          <w:sz w:val="25"/>
          <w:szCs w:val="25"/>
          <w:lang w:val="en-US" w:eastAsia="zh-CN"/>
        </w:rPr>
      </w:pPr>
      <w:r>
        <w:rPr>
          <w:rFonts w:ascii="仿宋_GB2312" w:hAnsi="微软雅黑" w:eastAsia="仿宋_GB2312" w:cs="仿宋_GB2312"/>
          <w:i w:val="0"/>
          <w:iCs w:val="0"/>
          <w:caps w:val="0"/>
          <w:spacing w:val="8"/>
          <w:sz w:val="32"/>
          <w:szCs w:val="32"/>
          <w:shd w:val="clear" w:fill="FFFFFF"/>
        </w:rPr>
        <w:t>供稿：卫健委</w:t>
      </w:r>
      <w:r>
        <w:rPr>
          <w:rFonts w:hint="eastAsia" w:ascii="仿宋_GB2312" w:hAnsi="微软雅黑" w:eastAsia="仿宋_GB2312" w:cs="仿宋_GB2312"/>
          <w:i w:val="0"/>
          <w:iCs w:val="0"/>
          <w:caps w:val="0"/>
          <w:spacing w:val="8"/>
          <w:sz w:val="32"/>
          <w:szCs w:val="32"/>
          <w:shd w:val="clear" w:fill="FFFFFF"/>
          <w:lang w:eastAsia="zh-CN"/>
        </w:rPr>
        <w:t>齐梦妮</w:t>
      </w:r>
    </w:p>
    <w:p w14:paraId="4EAAB34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right"/>
        <w:rPr>
          <w:rFonts w:hint="eastAsia" w:ascii="微软雅黑" w:hAnsi="微软雅黑" w:eastAsia="仿宋_GB2312" w:cs="微软雅黑"/>
          <w:i w:val="0"/>
          <w:iCs w:val="0"/>
          <w:caps w:val="0"/>
          <w:spacing w:val="8"/>
          <w:sz w:val="25"/>
          <w:szCs w:val="25"/>
          <w:lang w:eastAsia="zh-CN"/>
        </w:rPr>
      </w:pPr>
      <w:r>
        <w:rPr>
          <w:rFonts w:hint="eastAsia" w:ascii="仿宋_GB2312" w:hAnsi="微软雅黑" w:eastAsia="仿宋_GB2312" w:cs="仿宋_GB2312"/>
          <w:i w:val="0"/>
          <w:iCs w:val="0"/>
          <w:caps w:val="0"/>
          <w:spacing w:val="8"/>
          <w:sz w:val="32"/>
          <w:szCs w:val="32"/>
          <w:shd w:val="clear" w:fill="FFFFFF"/>
        </w:rPr>
        <w:t>审核：卫健委</w:t>
      </w:r>
      <w:r>
        <w:rPr>
          <w:rFonts w:hint="eastAsia" w:ascii="仿宋_GB2312" w:hAnsi="微软雅黑" w:eastAsia="仿宋_GB2312" w:cs="仿宋_GB2312"/>
          <w:i w:val="0"/>
          <w:iCs w:val="0"/>
          <w:caps w:val="0"/>
          <w:spacing w:val="8"/>
          <w:sz w:val="32"/>
          <w:szCs w:val="32"/>
          <w:shd w:val="clear" w:fill="FFFFFF"/>
          <w:lang w:eastAsia="zh-CN"/>
        </w:rPr>
        <w:t>张金红</w:t>
      </w:r>
    </w:p>
    <w:p w14:paraId="31FAE8F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0" w:afterAutospacing="0"/>
        <w:ind w:left="0" w:right="0" w:firstLine="0"/>
        <w:jc w:val="right"/>
        <w:rPr>
          <w:rFonts w:ascii="仿宋" w:hAnsi="仿宋" w:eastAsia="仿宋"/>
          <w:sz w:val="32"/>
          <w:szCs w:val="32"/>
        </w:rPr>
      </w:pPr>
      <w:r>
        <w:rPr>
          <w:rFonts w:hint="eastAsia" w:ascii="仿宋_GB2312" w:hAnsi="微软雅黑" w:eastAsia="仿宋_GB2312" w:cs="仿宋_GB2312"/>
          <w:i w:val="0"/>
          <w:iCs w:val="0"/>
          <w:caps w:val="0"/>
          <w:spacing w:val="8"/>
          <w:sz w:val="32"/>
          <w:szCs w:val="32"/>
          <w:shd w:val="clear" w:fill="FFFFFF"/>
        </w:rPr>
        <w:t>终审：卫健委刘海燕</w:t>
      </w:r>
    </w:p>
    <w:p w14:paraId="3D1844D0"/>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NlYjUwMDdmZjNlYTZlZjMzYTg5YThmMDRiYmUxMDkifQ=="/>
  </w:docVars>
  <w:rsids>
    <w:rsidRoot w:val="48036E7A"/>
    <w:rsid w:val="09EF09C1"/>
    <w:rsid w:val="0BF856D0"/>
    <w:rsid w:val="18EB4CB3"/>
    <w:rsid w:val="1F003FE9"/>
    <w:rsid w:val="39B56308"/>
    <w:rsid w:val="48036E7A"/>
    <w:rsid w:val="67F85D9D"/>
    <w:rsid w:val="74A30D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autoRedefin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paragraph" w:customStyle="1" w:styleId="5">
    <w:name w:val="0"/>
    <w:basedOn w:val="1"/>
    <w:autoRedefine/>
    <w:qFormat/>
    <w:uiPriority w:val="0"/>
    <w:pPr>
      <w:widowControl/>
      <w:snapToGrid w:val="0"/>
      <w:spacing w:line="365" w:lineRule="atLeast"/>
      <w:ind w:left="1"/>
      <w:textAlignment w:val="bottom"/>
    </w:pPr>
    <w:rPr>
      <w:kern w:val="0"/>
      <w:sz w:val="20"/>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569</Words>
  <Characters>579</Characters>
  <Lines>0</Lines>
  <Paragraphs>0</Paragraphs>
  <TotalTime>0</TotalTime>
  <ScaleCrop>false</ScaleCrop>
  <LinksUpToDate>false</LinksUpToDate>
  <CharactersWithSpaces>588</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2024-05-20T03:23:00Z</dcterms:created>
  <dc:creator>Zz</dc:creator>
  <cp:lastModifiedBy>预则立</cp:lastModifiedBy>
  <cp:lastPrinted>2024-05-20T08:08:00Z</cp:lastPrinted>
  <dcterms:modified xsi:type="dcterms:W3CDTF">2024-08-14T02:25:32Z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9BB880E9B9444F749CF303AEFBFBB333_13</vt:lpwstr>
  </property>
</Properties>
</file>