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EE5E5">
      <w:pPr>
        <w:pStyle w:val="9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bookmarkStart w:id="0" w:name="_GoBack"/>
      <w:bookmarkEnd w:id="0"/>
      <w:r>
        <w:rPr>
          <w:rFonts w:hint="eastAsia" w:ascii="黑体" w:hAnsi="黑体" w:eastAsia="黑体"/>
          <w:sz w:val="96"/>
        </w:rPr>
        <w:t>卫生健康信息</w:t>
      </w:r>
    </w:p>
    <w:p w14:paraId="3FA5B92F">
      <w:pPr>
        <w:pStyle w:val="9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3F6C6242">
      <w:pPr>
        <w:pStyle w:val="9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13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50C090DE">
      <w:pPr>
        <w:pStyle w:val="9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46123B8">
      <w:pPr>
        <w:spacing w:line="560" w:lineRule="exact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2月1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795ED5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【喜报】全国通报表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2023年度“优质基层服务行”名单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</w:rPr>
        <w:t>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奈曼旗大镇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社区卫生服务中心榜上有名！！</w:t>
      </w:r>
    </w:p>
    <w:p w14:paraId="1CEC6EB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月29日，国家卫生健康委官网发布《关于对2023年度“优质服务基层行”活动表现突出服务优质机构予以通报表扬的通知》（国卫办基层函〔2024〕26号），全国共2427所乡镇卫生院和社区卫生服务中心达到服务能力推荐标准获评2023年度“优质服务基层行”活动表现突出、服务优质的机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奈曼旗大镇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社区卫生服务中心榜上有名。</w:t>
      </w:r>
    </w:p>
    <w:p w14:paraId="3881C615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F3F3F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F3F3F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1814195"/>
            <wp:effectExtent l="0" t="0" r="12065" b="14605"/>
            <wp:docPr id="2" name="图片 2" descr="b309afd98dd93da47892f48f45bd1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309afd98dd93da47892f48f45bd13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674BA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F3F3F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F3F3F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4974590" cy="8844280"/>
            <wp:effectExtent l="0" t="0" r="16510" b="13970"/>
            <wp:docPr id="5" name="图片 5" descr="9f4320457f45d571acdd8381c215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f4320457f45d571acdd8381c2157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884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0E118">
      <w:pPr>
        <w:ind w:firstLine="700" w:firstLineChars="200"/>
        <w:rPr>
          <w:rFonts w:hint="eastAsia" w:ascii="仿宋_GB2312" w:hAnsi="仿宋_GB2312" w:eastAsia="仿宋_GB2312" w:cs="仿宋_GB2312"/>
          <w:spacing w:val="15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none"/>
        </w:rPr>
        <w:t>优质服务基层”活动是提高基层防病治病和健康管理能力，加快构建优质高效医疗卫生服务体系，不断增强人民群众获得感幸福感的有效举措。2023年，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none"/>
          <w:lang w:eastAsia="zh-CN"/>
        </w:rPr>
        <w:t>奈曼旗卫生健康委员会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none"/>
        </w:rPr>
        <w:t>立足为群众提供全方位全周期的基本医疗卫生服务，对照新版标准，补短板、强弱项，持续加强服务能力建设，持续提升服务能力，努力提高服务质量，取得了积极成效。</w:t>
      </w:r>
    </w:p>
    <w:p w14:paraId="377E0A64">
      <w:pPr>
        <w:ind w:firstLine="700" w:firstLineChars="200"/>
        <w:rPr>
          <w:rFonts w:hint="eastAsia" w:ascii="仿宋_GB2312" w:hAnsi="仿宋_GB2312" w:eastAsia="仿宋_GB2312" w:cs="仿宋_GB2312"/>
          <w:spacing w:val="15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none"/>
        </w:rPr>
        <w:t>下一步，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none"/>
          <w:lang w:eastAsia="zh-CN"/>
        </w:rPr>
        <w:t>奈曼旗卫生健康委员会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none"/>
        </w:rPr>
        <w:t>将继续深入开展“优质服务基层行”活动，持续提升基层防病治病和健康管理能力，坚持中西医并重，强化医防融合服务，建设优质高效的基层医疗卫生服务体系，不断满足人民群众日益增长的基本医疗卫生服务需求。</w:t>
      </w:r>
    </w:p>
    <w:p w14:paraId="67D78BFC">
      <w:pPr>
        <w:ind w:firstLine="700" w:firstLineChars="200"/>
        <w:rPr>
          <w:rFonts w:hint="eastAsia" w:ascii="仿宋_GB2312" w:hAnsi="仿宋_GB2312" w:eastAsia="仿宋_GB2312" w:cs="仿宋_GB2312"/>
          <w:spacing w:val="15"/>
          <w:sz w:val="32"/>
          <w:szCs w:val="32"/>
          <w:u w:val="none"/>
        </w:rPr>
      </w:pPr>
    </w:p>
    <w:p w14:paraId="3BC4E7DC">
      <w:pPr>
        <w:ind w:firstLine="700" w:firstLineChars="200"/>
        <w:rPr>
          <w:rFonts w:hint="eastAsia" w:ascii="仿宋_GB2312" w:hAnsi="仿宋_GB2312" w:eastAsia="仿宋_GB2312" w:cs="仿宋_GB2312"/>
          <w:spacing w:val="15"/>
          <w:sz w:val="32"/>
          <w:szCs w:val="32"/>
          <w:u w:val="none"/>
        </w:rPr>
      </w:pPr>
    </w:p>
    <w:p w14:paraId="36B8BF05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供稿：卫健委齐梦妮</w:t>
      </w:r>
    </w:p>
    <w:p w14:paraId="5CCBB1F3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审核：卫健委包金山</w:t>
      </w:r>
    </w:p>
    <w:p w14:paraId="28DCDD06">
      <w:pPr>
        <w:pStyle w:val="3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终审：卫健委刘海燕</w:t>
      </w:r>
    </w:p>
    <w:p w14:paraId="48FF6262">
      <w:pPr>
        <w:ind w:firstLine="700" w:firstLineChars="200"/>
        <w:rPr>
          <w:rFonts w:hint="eastAsia" w:ascii="仿宋_GB2312" w:hAnsi="仿宋_GB2312" w:eastAsia="仿宋_GB2312" w:cs="仿宋_GB2312"/>
          <w:spacing w:val="15"/>
          <w:sz w:val="32"/>
          <w:szCs w:val="32"/>
          <w:u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7D9C4B8F"/>
    <w:rsid w:val="26720A0B"/>
    <w:rsid w:val="7D9C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0"/>
    <w:basedOn w:val="1"/>
    <w:autoRedefine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2024-02-01T02:10:00Z</dcterms:created>
  <dc:creator>齊夢妮</dc:creator>
  <cp:lastModifiedBy>预则立</cp:lastModifiedBy>
  <cp:lastPrinted>2024-02-01T02:50:00Z</cp:lastPrinted>
  <dcterms:modified xsi:type="dcterms:W3CDTF">2024-08-14T02:24:51Z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73B83757CBB140478F9AFD32C5F08DDD_11</vt:lpwstr>
  </property>
</Properties>
</file>