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77" w:type="dxa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33"/>
        <w:gridCol w:w="1707"/>
        <w:gridCol w:w="2285"/>
        <w:gridCol w:w="1933"/>
        <w:gridCol w:w="1326"/>
        <w:gridCol w:w="1755"/>
        <w:gridCol w:w="1346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奈曼旗交通运输局行政处罚信息公示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填表单位（盖章）：奈曼旗交通运输局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案件名称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行政处罚决定书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处罚事由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缴纳情况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王贵锋未按规定使用计程计价设备、违规收费从事出租车经营活动案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通奈交罚【2024】4011号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《巡游出租汽车经营服务管理规定》第四十八条第（三）项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不按规定使用计程计价设备、违规收费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责令改正，处罚款300元。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2024年1月23日已缴清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郭春花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郭春花未按规定使用计程计价设备、违规收费从事出租车经营活动案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通奈交罚【2024】4012号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《巡游出租汽车经营服务管理规定》第四十八条第（三）项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不按规定使用计程计价设备、违规收费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责令改正，处罚款200元。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2024年1月23日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2024年1月23日已缴清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王占友未按照规定使用计程计价设备、违规收费从事出租车经营活动案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通奈交罚【2024】4013号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《巡游出租汽车经营服务管理规定》第四十八条第（三）项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不按规定使用计程计价设备、违规收费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责令改正，处罚款200元。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2024年1月26日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2024年1月26日已缴清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张忠华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张忠华未按照规定使用计程计价设备、违规收费从事出租车经营活动案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通奈交罚【2024】4014号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《巡游出租汽车经营服务管理规定》第四十八条第（三）项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不按规定使用计程计价设备、违规收费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责令改正，处罚款200元。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                                        29日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                                        29日已缴清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</w:tbl>
    <w:p/>
    <w:sectPr>
      <w:pgSz w:w="16838" w:h="11906" w:orient="landscape"/>
      <w:pgMar w:top="1247" w:right="1440" w:bottom="96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3F4B4C2-AA64-4312-A76A-262D37B1DC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YzI1Y2RlZmJiMzJiYzQ1MDM1YjRiMWVjNmYzNGYifQ=="/>
  </w:docVars>
  <w:rsids>
    <w:rsidRoot w:val="1F8E1E1A"/>
    <w:rsid w:val="1D0B0AE6"/>
    <w:rsid w:val="1F8E1E1A"/>
    <w:rsid w:val="1F970461"/>
    <w:rsid w:val="2AD344E0"/>
    <w:rsid w:val="32A47A1C"/>
    <w:rsid w:val="33DE0731"/>
    <w:rsid w:val="3CB04C06"/>
    <w:rsid w:val="52C04E25"/>
    <w:rsid w:val="55C1495E"/>
    <w:rsid w:val="67BB6978"/>
    <w:rsid w:val="769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2024-01-05T00:25:00Z</dcterms:created>
  <dc:creator>悦</dc:creator>
  <cp:lastModifiedBy>放羊女孩</cp:lastModifiedBy>
  <dcterms:modified xsi:type="dcterms:W3CDTF">2024-01-31T01:38:14Z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E63F464B7B304771B1614F7F3B3881FB_13</vt:lpwstr>
  </property>
</Properties>
</file>