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8528" w:type="dxa"/>
        <w:tblInd w:w="0" w:type="dxa"/>
        <w:tblLayout w:type="fixed"/>
        <w:tblCellMar>
          <w:top w:w="0" w:type="dxa"/>
          <w:left w:w="108" w:type="dxa"/>
          <w:bottom w:w="0" w:type="dxa"/>
          <w:right w:w="108" w:type="dxa"/>
        </w:tblCellMar>
      </w:tblPr>
      <w:tblGrid>
        <w:gridCol w:w="8528"/>
      </w:tblGrid>
      <w:tr w14:paraId="5ABB5F9D">
        <w:tblPrEx>
          <w:tblCellMar>
            <w:top w:w="0" w:type="dxa"/>
            <w:left w:w="108" w:type="dxa"/>
            <w:bottom w:w="0" w:type="dxa"/>
            <w:right w:w="108" w:type="dxa"/>
          </w:tblCellMar>
        </w:tblPrEx>
        <w:trPr>
          <w:trHeight w:val="241" w:hRule="atLeast"/>
        </w:trPr>
        <w:tc>
          <w:tcPr>
            <w:tcW w:w="8528" w:type="dxa"/>
            <w:tcBorders>
              <w:top w:val="nil"/>
              <w:left w:val="nil"/>
              <w:bottom w:val="nil"/>
              <w:right w:val="nil"/>
            </w:tcBorders>
            <w:noWrap/>
            <w:vAlign w:val="center"/>
          </w:tcPr>
          <w:p w14:paraId="14B520A5">
            <w:pPr>
              <w:widowControl/>
              <w:jc w:val="center"/>
              <w:textAlignment w:val="center"/>
              <w:rPr>
                <w:rFonts w:hint="eastAsia" w:ascii="宋体" w:hAnsi="宋体" w:cs="宋体"/>
                <w:color w:val="000000"/>
                <w:sz w:val="44"/>
                <w:szCs w:val="44"/>
              </w:rPr>
            </w:pPr>
            <w:r>
              <w:rPr>
                <w:rFonts w:hint="eastAsia" w:ascii="方正小标宋简体" w:hAnsi="方正小标宋简体" w:eastAsia="方正小标宋简体" w:cs="方正小标宋简体"/>
                <w:color w:val="000000"/>
                <w:kern w:val="0"/>
                <w:sz w:val="44"/>
                <w:szCs w:val="44"/>
                <w:lang w:bidi="ar"/>
              </w:rPr>
              <w:t>党务公开审核内容材料</w:t>
            </w:r>
          </w:p>
        </w:tc>
      </w:tr>
      <w:tr w14:paraId="04BC5EE1">
        <w:tblPrEx>
          <w:tblCellMar>
            <w:top w:w="0" w:type="dxa"/>
            <w:left w:w="108" w:type="dxa"/>
            <w:bottom w:w="0" w:type="dxa"/>
            <w:right w:w="108" w:type="dxa"/>
          </w:tblCellMar>
        </w:tblPrEx>
        <w:trPr>
          <w:trHeight w:val="312" w:hRule="atLeast"/>
        </w:trPr>
        <w:tc>
          <w:tcPr>
            <w:tcW w:w="8528" w:type="dxa"/>
            <w:vMerge w:val="restart"/>
            <w:tcBorders>
              <w:top w:val="single" w:color="000000" w:sz="4" w:space="0"/>
              <w:left w:val="single" w:color="000000" w:sz="4" w:space="0"/>
              <w:bottom w:val="single" w:color="000000" w:sz="4" w:space="0"/>
              <w:right w:val="single" w:color="000000" w:sz="4" w:space="0"/>
            </w:tcBorders>
            <w:noWrap/>
            <w:vAlign w:val="top"/>
          </w:tcPr>
          <w:p w14:paraId="6C508DA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68" w:afterAutospacing="0" w:line="17" w:lineRule="atLeast"/>
              <w:ind w:right="0"/>
              <w:rPr>
                <w:rFonts w:hint="eastAsia" w:ascii="宋体" w:hAnsi="宋体" w:cs="宋体"/>
                <w:color w:val="000000"/>
                <w:sz w:val="22"/>
                <w:szCs w:val="22"/>
              </w:rPr>
            </w:pPr>
            <w:r>
              <w:rPr>
                <w:rFonts w:hint="eastAsia" w:ascii="仿宋_GB2312" w:hAnsi="仿宋_GB2312" w:eastAsia="仿宋_GB2312" w:cs="仿宋_GB2312"/>
                <w:b/>
                <w:bCs/>
                <w:color w:val="000000"/>
                <w:kern w:val="0"/>
                <w:sz w:val="32"/>
                <w:szCs w:val="32"/>
                <w:lang w:bidi="ar"/>
              </w:rPr>
              <w:t>标题：</w:t>
            </w:r>
            <w:bookmarkStart w:id="0" w:name="_GoBack"/>
            <w:r>
              <w:rPr>
                <w:rFonts w:hint="eastAsia" w:ascii="仿宋_GB2312" w:hAnsi="仿宋_GB2312" w:eastAsia="仿宋_GB2312" w:cs="仿宋_GB2312"/>
                <w:b w:val="0"/>
                <w:bCs w:val="0"/>
                <w:color w:val="000000"/>
                <w:kern w:val="0"/>
                <w:sz w:val="32"/>
                <w:szCs w:val="32"/>
                <w:lang w:bidi="ar"/>
              </w:rPr>
              <w:t>追忆峥嵘岁月 凝聚奋进力量——富康社区开展庆祝中国人民解放军建军97周年“八一”建军节主题活动</w:t>
            </w:r>
            <w:bookmarkEnd w:id="0"/>
          </w:p>
        </w:tc>
      </w:tr>
      <w:tr w14:paraId="4FCBC11C">
        <w:tblPrEx>
          <w:tblCellMar>
            <w:top w:w="0" w:type="dxa"/>
            <w:left w:w="108" w:type="dxa"/>
            <w:bottom w:w="0" w:type="dxa"/>
            <w:right w:w="108" w:type="dxa"/>
          </w:tblCellMar>
        </w:tblPrEx>
        <w:trPr>
          <w:trHeight w:val="312" w:hRule="atLeast"/>
        </w:trPr>
        <w:tc>
          <w:tcPr>
            <w:tcW w:w="8528" w:type="dxa"/>
            <w:vMerge w:val="continue"/>
            <w:tcBorders>
              <w:top w:val="single" w:color="000000" w:sz="4" w:space="0"/>
              <w:left w:val="single" w:color="000000" w:sz="4" w:space="0"/>
              <w:bottom w:val="single" w:color="auto" w:sz="4" w:space="0"/>
              <w:right w:val="single" w:color="000000" w:sz="4" w:space="0"/>
            </w:tcBorders>
            <w:noWrap/>
            <w:vAlign w:val="top"/>
          </w:tcPr>
          <w:p w14:paraId="39A3D6A2">
            <w:pPr>
              <w:jc w:val="left"/>
              <w:rPr>
                <w:rFonts w:hint="eastAsia" w:ascii="宋体" w:hAnsi="宋体" w:cs="宋体"/>
                <w:color w:val="000000"/>
                <w:sz w:val="22"/>
                <w:szCs w:val="22"/>
              </w:rPr>
            </w:pPr>
          </w:p>
        </w:tc>
      </w:tr>
      <w:tr w14:paraId="5E9D2E3A">
        <w:tblPrEx>
          <w:tblCellMar>
            <w:top w:w="0" w:type="dxa"/>
            <w:left w:w="108" w:type="dxa"/>
            <w:bottom w:w="0" w:type="dxa"/>
            <w:right w:w="108" w:type="dxa"/>
          </w:tblCellMar>
        </w:tblPrEx>
        <w:trPr>
          <w:trHeight w:val="312" w:hRule="atLeast"/>
        </w:trPr>
        <w:tc>
          <w:tcPr>
            <w:tcW w:w="8528" w:type="dxa"/>
            <w:tcBorders>
              <w:top w:val="single" w:color="auto" w:sz="4" w:space="0"/>
              <w:left w:val="single" w:color="auto" w:sz="4" w:space="0"/>
              <w:bottom w:val="single" w:color="auto" w:sz="4" w:space="0"/>
              <w:right w:val="single" w:color="auto" w:sz="4" w:space="0"/>
            </w:tcBorders>
            <w:noWrap/>
            <w:vAlign w:val="top"/>
          </w:tcPr>
          <w:p w14:paraId="666A16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32"/>
                <w:szCs w:val="32"/>
              </w:rPr>
            </w:pPr>
            <w:r>
              <w:rPr>
                <w:rFonts w:hint="eastAsia" w:ascii="仿宋_GB2312" w:hAnsi="仿宋_GB2312" w:eastAsia="仿宋_GB2312" w:cs="仿宋_GB2312"/>
                <w:b/>
                <w:bCs/>
                <w:color w:val="000000"/>
                <w:kern w:val="0"/>
                <w:sz w:val="32"/>
                <w:szCs w:val="32"/>
                <w:lang w:bidi="ar"/>
              </w:rPr>
              <w:t>具体内容：</w:t>
            </w:r>
            <w:r>
              <w:rPr>
                <w:rFonts w:hint="eastAsia" w:ascii="仿宋" w:hAnsi="仿宋" w:eastAsia="仿宋" w:cs="仿宋"/>
                <w:sz w:val="32"/>
                <w:szCs w:val="32"/>
              </w:rPr>
              <w:t>为庆祝中国人民解放军建军97周年，切实营造崇军拥军浓厚氛围，表达社区对退伍军人的深切关怀和崇高敬意，8月1日上午，富康社区携手退伍军人开展“追忆峥嵘岁月  凝聚奋进力量”八一建军节主题活动。</w:t>
            </w:r>
          </w:p>
          <w:p w14:paraId="0041008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4206240" cy="3154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206240" cy="3154680"/>
                          </a:xfrm>
                          <a:prstGeom prst="rect">
                            <a:avLst/>
                          </a:prstGeom>
                          <a:noFill/>
                          <a:ln>
                            <a:noFill/>
                          </a:ln>
                        </pic:spPr>
                      </pic:pic>
                    </a:graphicData>
                  </a:graphic>
                </wp:inline>
              </w:drawing>
            </w:r>
          </w:p>
          <w:p w14:paraId="484C9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32"/>
                <w:szCs w:val="32"/>
              </w:rPr>
            </w:pPr>
            <w:r>
              <w:t>     </w:t>
            </w:r>
            <w:r>
              <w:rPr>
                <w:rFonts w:hint="eastAsia"/>
                <w:lang w:val="en-US" w:eastAsia="zh-CN"/>
              </w:rPr>
              <w:t xml:space="preserve"> </w:t>
            </w:r>
            <w:r>
              <w:rPr>
                <w:rFonts w:hint="eastAsia" w:ascii="仿宋" w:hAnsi="仿宋" w:eastAsia="仿宋" w:cs="仿宋"/>
                <w:sz w:val="32"/>
                <w:szCs w:val="32"/>
              </w:rPr>
              <w:t>活动中，首先参观了奈曼旗王府学习教育基地，讲解员带领大家参观了王府的各个院落，并详细讲解了建筑布局与装饰艺术，精美的木雕、彩绘等呈现出少数民族的文化和历史，此外，讲解员带领大家参观了室内陈列的系列文物，让大家对奈曼发展历史有了更深入的了解，进一步增强了大家对中华文化的自豪感，对中华民族的归属感。</w:t>
            </w:r>
          </w:p>
          <w:p w14:paraId="517ABA2F">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4632960" cy="33223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4632960" cy="332232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648200" cy="278892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4648200" cy="2788920"/>
                          </a:xfrm>
                          <a:prstGeom prst="rect">
                            <a:avLst/>
                          </a:prstGeom>
                          <a:noFill/>
                          <a:ln>
                            <a:noFill/>
                          </a:ln>
                        </pic:spPr>
                      </pic:pic>
                    </a:graphicData>
                  </a:graphic>
                </wp:inline>
              </w:drawing>
            </w:r>
          </w:p>
          <w:p w14:paraId="214B7F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Fonts w:hint="eastAsia" w:ascii="仿宋" w:hAnsi="仿宋" w:eastAsia="仿宋" w:cs="仿宋"/>
                <w:sz w:val="32"/>
                <w:szCs w:val="32"/>
              </w:rPr>
            </w:pPr>
            <w:r>
              <w:rPr>
                <w:rFonts w:hint="eastAsia" w:ascii="仿宋" w:hAnsi="仿宋" w:eastAsia="仿宋" w:cs="仿宋"/>
                <w:sz w:val="32"/>
                <w:szCs w:val="32"/>
              </w:rPr>
              <w:t> 参观结束后，大家齐聚在社区会议室共同学习了习近平总书记对退役军人工作作出的重要指示，并组织了叠被子和俯卧撑比赛，让参加活动的退伍军人回忆起军旅生活，展示出退役军人退伍不褪色的精神品质。</w:t>
            </w:r>
          </w:p>
          <w:p w14:paraId="616A2E8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48" w:firstLineChars="200"/>
              <w:jc w:val="both"/>
              <w:rPr>
                <w:rFonts w:hint="eastAsia" w:ascii="Microsoft YaHei UI" w:hAnsi="Microsoft YaHei UI" w:eastAsia="Microsoft YaHei UI" w:cs="Microsoft YaHei UI"/>
                <w:i w:val="0"/>
                <w:iCs w:val="0"/>
                <w:caps w:val="0"/>
                <w:spacing w:val="7"/>
              </w:rPr>
            </w:pPr>
          </w:p>
          <w:p w14:paraId="1B9E7CFF">
            <w:pPr>
              <w:keepNext w:val="0"/>
              <w:keepLines w:val="0"/>
              <w:widowControl/>
              <w:suppressLineNumbers w:val="0"/>
              <w:spacing w:before="0" w:beforeAutospacing="0" w:after="0" w:afterAutospacing="0"/>
              <w:ind w:right="0"/>
              <w:jc w:val="left"/>
              <w:rPr>
                <w:rFonts w:hint="eastAsia" w:ascii="宋体" w:hAnsi="宋体" w:cs="宋体"/>
                <w:sz w:val="22"/>
                <w:szCs w:val="22"/>
              </w:rPr>
            </w:pPr>
          </w:p>
        </w:tc>
      </w:tr>
    </w:tbl>
    <w:p w14:paraId="0DD7BA4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3NjU3NjU0ZmQwNTNjN2VkZGI2NzY0MWZlYjMyMjMifQ=="/>
  </w:docVars>
  <w:rsids>
    <w:rsidRoot w:val="00000000"/>
    <w:rsid w:val="24CF0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2024-08-07T02:06:29Z</dcterms:created>
  <dc:creator>pc</dc:creator>
  <cp:lastModifiedBy>pc</cp:lastModifiedBy>
  <dcterms:modified xsi:type="dcterms:W3CDTF">2024-08-07T02:06:50Z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BFD43EC383B94FEB9DCB541891BE1C3D_12</vt:lpwstr>
  </property>
</Properties>
</file>