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月12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0"/>
        <w:widowControl w:val="off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0"/>
        <w:widowControl w:val="off"/>
        <w:spacing w:afterAutospacing="0" w:beforeAutospacing="0" w:line="56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整理2023年创建示范旗档案；报送创建典型材料；报送会议记录自查整改报告；</w:t>
      </w:r>
      <w:r>
        <w:rPr>
          <w:sz w:val="32"/>
          <w:lang w:val="en-US" w:eastAsia="zh-CN"/>
          <w:rFonts w:ascii="仿宋_GB2312" w:hAnsi="仿宋_GB2312" w:eastAsia="仿宋_GB2312" w:hint="eastAsia"/>
        </w:rPr>
        <w:t xml:space="preserve">填报铸牢中华民族共同体意识教育实践基地推荐表、统计民族传统手工艺刺绣培训报名情况、制定大额资金使用规范手续、持续推进少数民族发展任务资金工作；持续推进“三项计划”工作；向市民委报送互嵌试试点信息六条、报送奈曼旗互嵌试试点材料并在公众号转发；向活力奈曼云民族团结栏目报送思想引领和政策法规内容各三条。</w:t>
      </w:r>
      <w:r>
        <w:br/>
        <w:rPr>
          <w:sz w:val="32"/>
          <w:lang w:val="en-US" w:eastAsia="zh-CN"/>
          <w:rFonts w:ascii="仿宋_GB2312" w:hAnsi="仿宋_GB2312" w:eastAsia="仿宋_GB2312" w:hint="eastAsia"/>
        </w:rPr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0"/>
        <w:widowControl w:val="off"/>
        <w:spacing w:afterAutospacing="0" w:beforeAutospacing="0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  <w:t xml:space="preserve">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报送党建工作典型材料；报送优秀党组织材料；与中标单位签订项目合同并在内蒙古政府采购云平台进行登记备案；参加全市民委系统“感党恩、听党话、跟党走”民族政策宣传暨“健康饮茶·送茶入户”发放活动；推进2024年度第二季度入项目库工作；推进2023年项目评审结算工作。</w:t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0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4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7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Autospacing="0" w:beforeAutospacing="0" w:line="56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整理2023年创建示范旗档案；报送创建典型材料；报送会议记录自查整改报告；</w:t>
      </w:r>
      <w:r>
        <w:rPr>
          <w:sz w:val="32"/>
          <w:lang w:val="en-US" w:eastAsia="zh-CN"/>
          <w:rFonts w:ascii="仿宋_GB2312" w:hAnsi="仿宋_GB2312" w:eastAsia="仿宋_GB2312" w:hint="eastAsia"/>
        </w:rPr>
        <w:t xml:space="preserve">填报铸牢中华民族共同体意识教育实践基地推荐表、统计民族传统手工艺刺绣培训报名情况、制定大额资金使用规范手续、持续推进少数民族发展任务资金工作；持续推进“三项计划”工作；向市民委报送互嵌试试点信息六条、报送奈曼旗互嵌试试点材料并在公众号转发；向活力奈曼云民族团结栏目报送思想引领和政策法规内容各三条。</w:t>
      </w:r>
      <w:r>
        <w:br/>
        <w:rPr>
          <w:sz w:val="32"/>
          <w:lang w:val="en-US" w:eastAsia="zh-CN"/>
          <w:rFonts w:ascii="仿宋_GB2312" w:hAnsi="仿宋_GB2312" w:eastAsia="仿宋_GB2312" w:hint="eastAsia"/>
        </w:rPr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afterAutospacing="0" w:beforeAutospacing="0" w:line="560" w:lineRule="exact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  <w:t xml:space="preserve">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报送党建工作典型材料；报送优秀党组织材料；与中标单位签订项目合同并在内蒙古政府采购云平台进行登记备案；参加全市民委系统“感党恩、听党话、跟党走”民族政策宣传暨“健康饮茶·送茶入户”发放活动；推进2024年度第二季度入项目库工作；推进2023年项目评审结算工作；2.持续推进“三项计划”工作；3.持续推进民族团结进步创建工作</w:t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