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展“夕阳”风采 传太极神韵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富康社区举办太极拳交流展演活动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2024-07-03 16:39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太极拳交流展演比赛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21"/>
          <w:szCs w:val="21"/>
          <w:bdr w:val="none" w:color="auto" w:sz="0" w:space="0"/>
          <w:shd w:val="clear" w:fill="FFFFFF"/>
        </w:rPr>
        <w:t>为热烈庆祝中国共产党成立103周年，传承弘扬中华民族优秀传统文化，丰富老年人业余文化生活，提高老年人身心健康，激发锻炼热情，7月3日上午，奈曼旗体育总会、奈曼旗民族职专、富康社区联合举办了太极拳交流展演比赛。全场比赛共有10支队伍，约150人参加了此次比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31435" cy="3843655"/>
            <wp:effectExtent l="0" t="0" r="4445" b="1206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84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21"/>
          <w:szCs w:val="21"/>
          <w:bdr w:val="none" w:color="auto" w:sz="0" w:space="0"/>
          <w:shd w:val="clear" w:fill="FFFFFF"/>
        </w:rPr>
        <w:t>比赛过程中，老年选手们身着太极服，全神贯注、动作整齐划一，优美的姿态展示了太极拳行云流水，柔中有刚、刚柔并济的独特魅力，大家保持着专注和沉稳，用精湛的技艺和顽强的毅力，为现场观众奉献了一场场精彩的表演。同时，选手们还展现了当代老年人良好的精神风貌和体育精神，赢得了观众们的阵阵掌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60620" cy="3716655"/>
            <wp:effectExtent l="0" t="0" r="7620" b="190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735" cy="3738880"/>
            <wp:effectExtent l="0" t="0" r="6985" b="1016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7480" cy="3923665"/>
            <wp:effectExtent l="0" t="0" r="5080" b="825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60645" cy="3507105"/>
            <wp:effectExtent l="0" t="0" r="5715" b="1333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     此次展演活动全方位展现了太极拳的神韵和风采，增强了太极拳运动的群众基础。富康社区将进一步引导和鼓励更多的居民朋友们参与老年体育运动，营造良好的健身氛围，不断提升辖区居民幸福指数。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645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2024-07-04T00:43:12Z</dcterms:created>
  <dc:creator>pc</dc:creator>
  <cp:lastModifiedBy>pc</cp:lastModifiedBy>
  <dcterms:modified xsi:type="dcterms:W3CDTF">2024-07-04T00:46:48Z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747AF591600340B1A02544F57F3B98EA_12</vt:lpwstr>
  </property>
</Properties>
</file>