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eastAsia="Times New Roman"/>
          <w:sz w:val="32"/>
        </w:rPr>
      </w:pPr>
    </w:p>
    <w:p>
      <w:pPr>
        <w:rPr>
          <w:rFonts w:eastAsia="Times New Roman"/>
          <w:sz w:val="32"/>
        </w:rPr>
      </w:pPr>
    </w:p>
    <w:p>
      <w:pPr>
        <w:rPr>
          <w:rFonts w:eastAsia="Times New Roman"/>
          <w:sz w:val="32"/>
        </w:rPr>
      </w:pPr>
    </w:p>
    <w:p>
      <w:pPr>
        <w:spacing w:line="1120" w:lineRule="exact"/>
        <w:rPr>
          <w:sz w:val="32"/>
        </w:rPr>
      </w:pPr>
    </w:p>
    <w:p>
      <w:pPr>
        <w:spacing w:line="8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奈文旅发〔202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220" w:lineRule="exact"/>
        <w:ind w:firstLine="2700" w:firstLineChars="900"/>
        <w:rPr>
          <w:rFonts w:eastAsia="Times New Roman"/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奈曼旗文化和旅游局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  <w:lang w:val="zh-CN"/>
        </w:rPr>
      </w:pPr>
      <w:r>
        <w:rPr>
          <w:rFonts w:hint="eastAsia" w:ascii="方正小标宋简体" w:eastAsia="方正小标宋简体"/>
          <w:sz w:val="36"/>
          <w:szCs w:val="36"/>
          <w:lang w:val="zh-CN" w:eastAsia="zh-CN"/>
        </w:rPr>
        <w:t>关于印发《</w:t>
      </w:r>
      <w:r>
        <w:rPr>
          <w:rFonts w:hint="eastAsia" w:ascii="方正小标宋简体" w:eastAsia="方正小标宋简体"/>
          <w:sz w:val="36"/>
          <w:szCs w:val="36"/>
          <w:lang w:val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  <w:lang w:val="zh-CN"/>
        </w:rPr>
        <w:t>年“双随机、一公开”监管工作</w:t>
      </w:r>
    </w:p>
    <w:p>
      <w:pPr>
        <w:spacing w:line="560" w:lineRule="exact"/>
        <w:jc w:val="center"/>
        <w:rPr>
          <w:rFonts w:ascii="宋体" w:cs="宋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sz w:val="36"/>
          <w:szCs w:val="36"/>
          <w:lang w:val="zh-CN"/>
        </w:rPr>
        <w:t>实施方案》的通知</w:t>
      </w:r>
    </w:p>
    <w:p>
      <w:pPr>
        <w:autoSpaceDE w:val="0"/>
        <w:autoSpaceDN w:val="0"/>
        <w:adjustRightInd w:val="0"/>
        <w:spacing w:line="600" w:lineRule="exact"/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Times New Roman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奈曼旗文化市场综合行政执法局：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现将《奈曼旗文化和旅游局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年“双随机、一公开”监管工作实施方案》印发给你，请结合实际，认真抓好贯彻落实。</w:t>
      </w:r>
    </w:p>
    <w:p>
      <w:pPr>
        <w:widowControl/>
        <w:jc w:val="left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                                       </w:t>
      </w:r>
    </w:p>
    <w:p>
      <w:pPr>
        <w:widowControl/>
        <w:jc w:val="left"/>
        <w:rPr>
          <w:rFonts w:ascii="仿宋_GB2312" w:hAnsi="Times New Roman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奈曼旗文化和旅游局</w:t>
      </w:r>
    </w:p>
    <w:p>
      <w:pPr>
        <w:spacing w:line="560" w:lineRule="exact"/>
        <w:ind w:firstLine="160" w:firstLineChars="50"/>
        <w:jc w:val="center"/>
        <w:rPr>
          <w:rFonts w:hint="eastAsia" w:asci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41" w:right="1474" w:bottom="1757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180" w:firstLineChar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奈曼旗文化和旅游局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年“双随机、一公开”监管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实施方案</w:t>
      </w:r>
    </w:p>
    <w:p>
      <w:pPr>
        <w:bidi w:val="0"/>
      </w:pPr>
    </w:p>
    <w:p>
      <w:pPr>
        <w:bidi w:val="0"/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为了深入贯彻全国“放管服”改革，持续优化营商环境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全面推进部门以及部门联合“双随机、一公开”监管，制定本实施方案。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以习近平新时代中国特色社会主义思想为指导，认真落实党中央、国务院、自治区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通辽市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政府的决策部署，切实转变监管理念，创新监管方式，提高监管效能，减轻企业负担，强化信用支撑。在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文化市场综合行政执法领域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以“双随机、一公开”监管为基本手段、以重点监管为补充、以信用监管为基础的新型监管机制，切实做到监管到位、执法必严，使守法守信者畅行天下、违法失信者寸步难行，进一步营造公平竞争的市场环境和法治化、便利化的营商环境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继续加快“双随机、一公开”监管制度和机制创新，增强市场主体信用意识和自我约束力，对违法者“利剑高悬”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减少对市场主体正常生产经营活动的干预，对守法者“无事不扰”。推进抽查事项全覆盖、抽查工作常态化、抽查结果全公开，不断拓宽双随机抽查领域，实施信用风险分类监管，针对突出问题和风险开展双随机抽查，提高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准性。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三、工作任务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统筹制定“双随机、一公开”监管实施方案。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依据有关法律法规，结合本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“双随机、一公开”监管工作实施方案，包括本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内部抽查和跨部门联合抽查工作内容。实施方案应通过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网站向社会公示。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动态管理随机抽查事项清单。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要依照本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的行政检查事项清单，动态管理随机抽查事项清单。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的行政检查事项清单原则上要全部纳入随机抽查事项清单，开展“双随机”抽查检查工作。每年度抽查事项清单开展率要达到100%。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机抽查事项分为重点检查事项和一般检查事项。重点检查事项针对涉及安全、质量、公共利益等领域，抽查比例不设上限；抽查比例高的，可以通过随机抽取的方式确定检查批次顺序。一般检查事项针对一般监管领域，抽查比例应根据监管实际情况设置上限。要严格控制重点检查事项的数量和一般检查事项的抽查比例，并将随机抽查事项清单录入部门协同监管平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网站向社会公示。</w:t>
      </w:r>
    </w:p>
    <w:p>
      <w:pPr>
        <w:numPr>
          <w:ilvl w:val="0"/>
          <w:numId w:val="1"/>
        </w:num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建立健全随机抽查“两库”。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依托部门协同监管平台，建立健全覆盖本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与抽查事项相对应的检查对象名录库和执法检查人员名录库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统称“两库”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检查对象名录库既可以包括企业、个体工商户、农民专业合作社等市场主体和其他主体的检查对象名录库，也可以包括产品、项目、行为等非市场主体名录库。可建立检查对象名录子库，按照不同风险等级进行分类标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人员名录库应包括所有相关的行政执法类公务员、具有行政执法资格的工作人员和从事日常监管工作的人员，并按照执法资质、业务专长进行分类标注，提高抽查检查专业性。可建立检查人员名录子库，子库可选择本部门和其他部门人员，共同参与检查。要根据检查对象和执法检查人员变动情况，对“两库”进行动态管理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完善随机抽查工作细则。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按照随机抽查事项风险程度，制定本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工作指引或随机抽查工作细则，作为开展抽查工作的依据。指引或细则应包括抽取原则、检查方法、检查内容、检查程序、结果公示、检查归档等程序作出明确规定。通过制定详细的抽查检查工作指引，便于检查人员检查，不断提高抽查检查规范化水平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制定随机抽查计划。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按照法律法规规定和实际情况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整合各业务条线，能联尽联，实现“进一次门，查多项事”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针对不同风险等级、信用水平的检查对象采取差异化分类监管措施，合理确定、动态调整抽查比例、频次和被抽查概率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既保证必要的抽查覆盖面和监管效果，又防止任意检查和执法扰民。年度抽查计划要录入部门协同监管平台年度工作计划库中，同时在部门网站向社会公示。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并按照计划组织实施我局的部门联合“双随机、一公开”监管工作。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（六）严格规范双随机监管。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“双随机、一公开”监管要按照《市场监管领域“双随机、一公开”抽查检查工作规范》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双随机、一公开”标准化、规范化监管。要依托部门协同监管平台按抽查计划实施，按照“谁检查、谁录入、谁公开”的原则，在完成检查之日起20个工作日内将检查结果录入协同监管平台，通过国家企业信用信息公示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示，确保各类抽查检查结果及时有效归集至相应市场主体名下。已实施检查但未进行公示的，视为未完成抽查检查。检查结果的公示只针对抽查行为本身，后续对检查对象作出的行政处罚，按照公示行政处罚信息的规定予以公示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加强双随机抽查结果运用。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全面运用双随机抽查结果，为党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提供翔实的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市场主体信用体系建设数据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准确运用双随机抽查结果，为涉企信息归集共享和联合惩戒提供数据保障。及时运用双随机抽查结果，为企业信用风险分级分类提供有力支撑，提高随机抽查的精准性和震慑力。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加强组织领导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按照部署要求，高度重视，精心组织，压实责任，加强对“双随机、一公开”监管工作的组织领导、统筹协调，建立健全相应工作机制，制定科学的工作方案，细化目标任务和推进措施，积极推进本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内部抽查和联合抽查工作。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按照“尽职照单免责、失职照单问责”原则，进一步增强责任意识，对忠于职守、履职尽责的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给予表扬和鼓励；对未履行、不当履行或违法履行“双随机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一公开”监管职责的，依法依规严肃处理；涉嫌犯罪的，移送有关机关依法处理。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强化考核督查。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将“双随机、一公开”监管工作纳入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年未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，考核结果与个人评先评优挂钩，本单位各部门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要严格落实责任，确保本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“双随机、一公开”监管工作落到实处。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附件：1.奈曼旗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“双随机、一公开”监管工作领导小组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“双随机、一公开”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监管工作领导小组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奈曼旗文化和旅游局局长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  辉  奈曼旗文化和旅游局副局长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孙宏权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员：由各股室负责人组成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主任沈丽娟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主要负责相关工作的协调及日常工作，专职工作人员卢佳冉、宝阿木古冷。 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34"/>
        <w:rPr>
          <w:b/>
          <w:bCs/>
          <w:spacing w:val="-11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pacing w:val="-22"/>
          <w:sz w:val="34"/>
          <w:szCs w:val="34"/>
        </w:rPr>
      </w:pPr>
    </w:p>
    <w:sectPr>
      <w:footerReference r:id="rId5" w:type="default"/>
      <w:pgSz w:w="11906" w:h="16838"/>
      <w:pgMar w:top="2041" w:right="1474" w:bottom="1757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6654638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405F2"/>
    <w:multiLevelType w:val="singleLevel"/>
    <w:tmpl w:val="4F7405F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OGE3MTI4OWZkZGVjYWI0NjNkNjAzOTBkZWZlNTUifQ=="/>
  </w:docVars>
  <w:rsids>
    <w:rsidRoot w:val="41CC53B2"/>
    <w:rsid w:val="003E26A1"/>
    <w:rsid w:val="00E629EB"/>
    <w:rsid w:val="00F1092E"/>
    <w:rsid w:val="014E13C6"/>
    <w:rsid w:val="05C44BFC"/>
    <w:rsid w:val="0C943AA2"/>
    <w:rsid w:val="0F556AA2"/>
    <w:rsid w:val="1F062D29"/>
    <w:rsid w:val="2E820557"/>
    <w:rsid w:val="2F363CFC"/>
    <w:rsid w:val="3772669B"/>
    <w:rsid w:val="41CC53B2"/>
    <w:rsid w:val="44A31CF8"/>
    <w:rsid w:val="4B507FED"/>
    <w:rsid w:val="59C57B1D"/>
    <w:rsid w:val="5D9070E2"/>
    <w:rsid w:val="65E6262D"/>
    <w:rsid w:val="7A0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2530</Words>
  <Characters>2550</Characters>
  <Lines>22</Lines>
  <Paragraphs>6</Paragraphs>
  <TotalTime>11</TotalTime>
  <ScaleCrop>false</ScaleCrop>
  <LinksUpToDate>false</LinksUpToDate>
  <CharactersWithSpaces>2654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2021-12-14T07:32:00Z</dcterms:created>
  <dc:creator>slj</dc:creator>
  <cp:lastModifiedBy>以梦为马</cp:lastModifiedBy>
  <cp:lastPrinted>2022-09-28T01:53:00Z</cp:lastPrinted>
  <dcterms:modified xsi:type="dcterms:W3CDTF">2024-06-28T02:28:01Z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8ABDDF0767CA4EDA84C3A5DD03B13C87_13</vt:lpwstr>
  </property>
</Properties>
</file>