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资产年报</w:t>
      </w:r>
      <w:bookmarkStart w:id="0" w:name="_GoBack"/>
      <w:bookmarkEnd w:id="0"/>
    </w:p>
    <w:p/>
    <w:p>
      <w:pPr>
        <w:pStyle w:val="2"/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地区/部门的基本情况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年12月31日，已纳入我部门/单位资产报表编制范围的单位共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户，独立编制机构数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个，较上年度增长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个。编制人数</w:t>
      </w:r>
      <w:r>
        <w:rPr>
          <w:rFonts w:hint="eastAsia" w:ascii="宋体" w:eastAsia="宋体" w:hAnsiTheme="minorEastAsia"/>
          <w:color w:val="FF0000"/>
          <w:sz w:val="27"/>
        </w:rPr>
        <w:t>14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人，年末实有人数</w:t>
      </w:r>
      <w:r>
        <w:rPr>
          <w:rFonts w:hint="eastAsia" w:ascii="宋体" w:eastAsia="宋体" w:hAnsiTheme="minorEastAsia"/>
          <w:color w:val="FF0000"/>
          <w:sz w:val="27"/>
        </w:rPr>
        <w:t>12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人，较上年度增长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行政事业单位国有资产情况分析</w:t>
      </w:r>
    </w:p>
    <w:p>
      <w:pPr>
        <w:spacing w:line="360" w:lineRule="auto"/>
        <w:ind w:firstLine="636" w:firstLineChars="198"/>
        <w:outlineLvl w:val="1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资产的总体情况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年12月31日，我部门/单位资产总计账面数（净值，下同）</w:t>
      </w:r>
      <w:r>
        <w:rPr>
          <w:rFonts w:hint="eastAsia" w:ascii="宋体" w:eastAsia="宋体" w:hAnsiTheme="minorEastAsia"/>
          <w:color w:val="FF0000"/>
          <w:sz w:val="27"/>
        </w:rPr>
        <w:t>99.83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万元，较上年增长</w:t>
      </w:r>
      <w:r>
        <w:rPr>
          <w:rFonts w:hint="eastAsia" w:ascii="宋体" w:eastAsia="宋体" w:hAnsiTheme="minorEastAsia"/>
          <w:color w:val="FF0000"/>
          <w:sz w:val="27"/>
        </w:rPr>
        <w:t>93.17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%；负债总计账面数</w:t>
      </w:r>
      <w:r>
        <w:rPr>
          <w:rFonts w:hint="eastAsia" w:ascii="宋体" w:eastAsia="宋体" w:hAnsiTheme="minorEastAsia"/>
          <w:color w:val="FF0000"/>
          <w:sz w:val="27"/>
        </w:rPr>
        <w:t>3.65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万元,较上年增长</w:t>
      </w:r>
      <w:r>
        <w:rPr>
          <w:rFonts w:hint="eastAsia" w:ascii="宋体" w:eastAsia="宋体" w:hAnsiTheme="minorEastAsia"/>
          <w:color w:val="FF0000"/>
          <w:sz w:val="27"/>
        </w:rPr>
        <w:t>125.57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%。净资产总计账面数</w:t>
      </w:r>
      <w:r>
        <w:rPr>
          <w:rFonts w:hint="eastAsia" w:ascii="宋体" w:eastAsia="宋体" w:hAnsiTheme="minorEastAsia"/>
          <w:color w:val="FF0000"/>
          <w:sz w:val="27"/>
        </w:rPr>
        <w:t>96.18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万元,较上年增长</w:t>
      </w:r>
      <w:r>
        <w:rPr>
          <w:rFonts w:hint="eastAsia" w:ascii="宋体" w:eastAsia="宋体" w:hAnsiTheme="minorEastAsia"/>
          <w:color w:val="FF0000"/>
          <w:sz w:val="27"/>
        </w:rPr>
        <w:t>92.12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资产分布情况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年度，我部门/单位行政单位国有资产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%；事业单位国有资产</w:t>
      </w:r>
      <w:r>
        <w:rPr>
          <w:rFonts w:hint="eastAsia" w:ascii="宋体" w:eastAsia="宋体" w:hAnsiTheme="minorEastAsia"/>
          <w:color w:val="FF0000"/>
          <w:sz w:val="27"/>
        </w:rPr>
        <w:t>99.83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100.00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</w:p>
    <w:p>
      <w:pPr>
        <w:spacing w:line="360" w:lineRule="auto"/>
        <w:ind w:firstLine="42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039995" cy="2519680"/>
            <wp:effectExtent l="0" t="0" r="0" b="0"/>
            <wp:docPr id="100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资产构成情况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年度，流动资产</w:t>
      </w:r>
      <w:r>
        <w:rPr>
          <w:rFonts w:hint="eastAsia" w:ascii="宋体" w:eastAsia="宋体" w:hAnsiTheme="minorEastAsia"/>
          <w:color w:val="FF0000"/>
          <w:sz w:val="27"/>
        </w:rPr>
        <w:t>3.98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3.99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%；固定资产</w:t>
      </w:r>
      <w:r>
        <w:rPr>
          <w:rFonts w:hint="eastAsia" w:ascii="宋体" w:eastAsia="宋体" w:hAnsiTheme="minorEastAsia"/>
          <w:color w:val="FF0000"/>
          <w:sz w:val="27"/>
        </w:rPr>
        <w:t>95.85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96.01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%；长期投资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%；公共基础设施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%；政府储备物资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%；文物文化资产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%；保障性住房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360" w:lineRule="auto"/>
        <w:ind w:firstLine="42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039995" cy="2879725"/>
            <wp:effectExtent l="0" t="0" r="0" b="0"/>
            <wp:docPr id="100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固定资产构成情况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年度，我部门/单位固定资产期末账面数原值</w:t>
      </w:r>
      <w:r>
        <w:rPr>
          <w:rFonts w:hint="eastAsia" w:ascii="宋体" w:eastAsia="宋体" w:hAnsiTheme="minorEastAsia"/>
          <w:color w:val="FF0000"/>
          <w:sz w:val="27"/>
        </w:rPr>
        <w:t>161.73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万元，累计折旧</w:t>
      </w:r>
      <w:r>
        <w:rPr>
          <w:rFonts w:hint="eastAsia" w:ascii="宋体" w:eastAsia="宋体" w:hAnsiTheme="minorEastAsia"/>
          <w:color w:val="FF0000"/>
          <w:sz w:val="27"/>
        </w:rPr>
        <w:t>65.88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万元，净值</w:t>
      </w:r>
      <w:r>
        <w:rPr>
          <w:rFonts w:hint="eastAsia" w:ascii="宋体" w:eastAsia="宋体" w:hAnsiTheme="minorEastAsia"/>
          <w:color w:val="FF0000"/>
          <w:sz w:val="27"/>
        </w:rPr>
        <w:t>95.85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万元，其中：土地、房屋及构筑物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万元，占固定资产的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（其中，房屋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万元，占固定资产的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）；设备</w:t>
      </w:r>
      <w:r>
        <w:rPr>
          <w:rFonts w:hint="eastAsia" w:ascii="宋体" w:eastAsia="宋体" w:hAnsiTheme="minorEastAsia"/>
          <w:color w:val="FF0000"/>
          <w:sz w:val="27"/>
        </w:rPr>
        <w:t>37.51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39.13%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（其中，车辆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，单价100万（含）以上（不含车辆）设备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）；文物和陈列品</w:t>
      </w:r>
      <w:r>
        <w:rPr>
          <w:rFonts w:hint="eastAsia" w:ascii="宋体" w:eastAsia="宋体" w:hAnsiTheme="minorEastAsia"/>
          <w:color w:val="FF0000"/>
          <w:sz w:val="27"/>
        </w:rPr>
        <w:t>50.00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52.16%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；图书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；家具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用具</w:t>
      </w:r>
      <w:r>
        <w:rPr>
          <w:rFonts w:hint="eastAsia" w:ascii="宋体" w:eastAsia="宋体" w:hAnsiTheme="minorEastAsia"/>
          <w:color w:val="FF0000"/>
          <w:sz w:val="27"/>
        </w:rPr>
        <w:t>8.34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8.70%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;特种动植物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万元,占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36" w:firstLineChars="198"/>
        <w:outlineLvl w:val="1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）资产配置、使用、处置、收益情况分析</w:t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资产配置情况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年度，我部门/单位配置固定资产</w:t>
      </w:r>
      <w:r>
        <w:rPr>
          <w:rFonts w:hint="eastAsia" w:ascii="宋体" w:eastAsia="宋体" w:hAnsiTheme="minorEastAsia"/>
          <w:color w:val="FF0000"/>
          <w:sz w:val="27"/>
        </w:rPr>
        <w:t>64.35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万元（账面原值，下同）。从资产类别分析，配置土地、房屋及构筑物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；配置设备</w:t>
      </w:r>
      <w:r>
        <w:rPr>
          <w:rFonts w:hint="eastAsia" w:ascii="宋体" w:eastAsia="宋体" w:hAnsiTheme="minorEastAsia"/>
          <w:color w:val="FF0000"/>
          <w:sz w:val="27"/>
        </w:rPr>
        <w:t>6.32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9.82%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；配置文物和陈列品</w:t>
      </w:r>
      <w:r>
        <w:rPr>
          <w:rFonts w:hint="eastAsia" w:ascii="宋体" w:eastAsia="宋体" w:hAnsiTheme="minorEastAsia"/>
          <w:color w:val="FF0000"/>
          <w:sz w:val="27"/>
        </w:rPr>
        <w:t>50.00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77.70%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；配置图书档案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；配置家具、用具、装具</w:t>
      </w:r>
      <w:r>
        <w:rPr>
          <w:rFonts w:hint="eastAsia" w:ascii="宋体" w:eastAsia="宋体" w:hAnsiTheme="minorEastAsia"/>
          <w:color w:val="FF0000"/>
          <w:sz w:val="27"/>
        </w:rPr>
        <w:t>8.03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12.48%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；配置特种动植物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。从配置方式分析，新购</w:t>
      </w:r>
      <w:r>
        <w:rPr>
          <w:rFonts w:hint="eastAsia" w:ascii="宋体" w:eastAsia="宋体" w:hAnsiTheme="minorEastAsia"/>
          <w:color w:val="FF0000"/>
          <w:sz w:val="27"/>
        </w:rPr>
        <w:t>64.35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；调拨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；接受捐赠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；置换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；其他方式新增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我部门/单位配置无形资产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万元。从资产类别分析，配置专利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；配置非专利技术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；配置土地使用权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；配置计算机软件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。从配置方式分析，新购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；调拨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；接受捐赠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；置换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；其他方式新增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我部门/单位配置在建工程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资产使用情况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（1）资产使用情况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年12月31日，我部门/单位自用固定资产</w:t>
      </w:r>
      <w:r>
        <w:rPr>
          <w:rFonts w:hint="eastAsia" w:ascii="宋体" w:eastAsia="宋体" w:hAnsiTheme="minorEastAsia"/>
          <w:color w:val="FF0000"/>
          <w:sz w:val="27"/>
        </w:rPr>
        <w:t>161.73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万元，占账面固定资产总额的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，其中:在用</w:t>
      </w:r>
      <w:r>
        <w:rPr>
          <w:rFonts w:hint="eastAsia" w:ascii="宋体" w:eastAsia="宋体" w:hAnsiTheme="minorEastAsia"/>
          <w:color w:val="FF0000"/>
          <w:sz w:val="27"/>
        </w:rPr>
        <w:t>161.73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万元，占账面固定资产总额的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；闲置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万元，占账面固定资产总额的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；待处置（待报废、毁损等）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万元，占账面固定资产总额的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。自用无形资产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万元，占账面无形资产总额的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；其中在用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万元，占账面无形资产总额的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；闲置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万元，占账面无形资产总额的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；待处置（待报废、毁损等）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万元，占账面无形资产总额的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（2）出租出借情况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年12月31日，我部门/单位出租出借资产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。其中，流动资产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；固定资产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万元，占资产总额的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年度新增出租出借资产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万元。其中，流动资产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；固定资产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,其他资产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（3）对外投资情况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年12月31日，我部门/单位对外投资总额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万元。其中，短期投资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万元；长期债券投资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万元；长期股权投资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年度新增对外投资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万元。其中，短期投资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万元；长期债券投资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万元；长期股权投资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资产处置情况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年度，我部门/单位处置资产</w:t>
      </w:r>
      <w:r>
        <w:rPr>
          <w:rFonts w:hint="eastAsia" w:ascii="宋体" w:eastAsia="宋体" w:hAnsiTheme="minorEastAsia"/>
          <w:color w:val="FF0000"/>
          <w:sz w:val="27"/>
        </w:rPr>
        <w:t>39.31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万元。从资产类别分析,流动资产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；固定资产</w:t>
      </w:r>
      <w:r>
        <w:rPr>
          <w:rFonts w:hint="eastAsia" w:ascii="宋体" w:eastAsia="宋体" w:hAnsiTheme="minorEastAsia"/>
          <w:color w:val="FF0000"/>
          <w:sz w:val="27"/>
        </w:rPr>
        <w:t>39.31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；无形资产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；长期投资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；其他资产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。从处置形式上分析，转让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；无偿划转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；对外捐赠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；置换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；报废</w:t>
      </w:r>
      <w:r>
        <w:rPr>
          <w:rFonts w:hint="eastAsia" w:ascii="宋体" w:eastAsia="宋体" w:hAnsiTheme="minorEastAsia"/>
          <w:color w:val="FF0000"/>
          <w:sz w:val="27"/>
        </w:rPr>
        <w:t>39.31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；损失核销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，其他方式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039995" cy="2519680"/>
            <wp:effectExtent l="0" t="0" r="0" b="0"/>
            <wp:docPr id="100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资产收益情况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年度，我部门/单位出租出借资产收益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万元，其中，流动资产收益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；固定资产收益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；无形资产收益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；在建工程收益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；往期出租出借资产收益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。对外投资收益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万元，其中，短期投资收益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；长期债券投资收益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；长期股权投资收益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。资产处置收益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万元，其中：本期处置资产收益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；往期处置资产收益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36" w:firstLineChars="198"/>
        <w:outlineLvl w:val="1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）资产总体绩效情况</w:t>
      </w:r>
    </w:p>
    <w:p>
      <w:pPr>
        <w:spacing w:line="360" w:lineRule="auto"/>
        <w:ind w:firstLine="643" w:firstLineChars="200"/>
        <w:outlineLvl w:val="2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资产整体配置效率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）土地资产情况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年12月31日，我部门/单位土地账面面积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万元，账面净值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万元。从使用状况分析：在用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平方米，占比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，出租出借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平方米，占比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，闲置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平方米，占比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，待处置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平方米，占比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）房屋资产情况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年12月31日，我部门/单位房屋账面面积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平方米，账面价值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万元，其中办公用房面积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平方米，占房屋的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；业务用房面积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；其他用房面积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。从使用状况分析：在用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,出租出借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,闲置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,待处置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本年度新增账面面积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万元；本年度处置账面面积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）车辆资产情况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年12月31日，我部门/单位车辆账面数量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辆，账面原值</w:t>
      </w:r>
      <w:r>
        <w:rPr>
          <w:rFonts w:hint="eastAsia" w:ascii="宋体" w:eastAsia="宋体" w:hAnsiTheme="minorEastAsia"/>
          <w:color w:val="FF0000"/>
          <w:sz w:val="27"/>
        </w:rPr>
        <w:t>14.55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万元，账面净值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万元。从使用状况分析：在用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辆，占</w:t>
      </w:r>
      <w:r>
        <w:rPr>
          <w:rFonts w:hint="eastAsia" w:ascii="宋体" w:eastAsia="宋体" w:hAnsiTheme="minorEastAsia"/>
          <w:color w:val="FF0000"/>
          <w:sz w:val="27"/>
        </w:rPr>
        <w:t>100.00%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，出租出借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，闲置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，待处置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本年度新增车辆</w:t>
      </w:r>
      <w:r>
        <w:rPr>
          <w:rFonts w:hint="eastAsia" w:ascii="宋体" w:eastAsia="宋体" w:hAnsiTheme="minorEastAsia"/>
          <w:color w:val="FF0000"/>
          <w:sz w:val="27"/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辆，账面原值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万元；处置车辆</w:t>
      </w:r>
      <w:r>
        <w:rPr>
          <w:rFonts w:hint="eastAsia" w:ascii="宋体" w:eastAsia="宋体" w:hAnsiTheme="minorEastAsia"/>
          <w:color w:val="FF0000"/>
          <w:sz w:val="27"/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辆，账面原值</w:t>
      </w:r>
      <w:r>
        <w:rPr>
          <w:rFonts w:hint="eastAsia" w:ascii="宋体" w:eastAsia="宋体" w:hAnsiTheme="minorEastAsia"/>
          <w:color w:val="FF0000"/>
          <w:sz w:val="27"/>
        </w:rPr>
        <w:t>39.31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auto"/>
        <w:ind w:firstLine="643" w:firstLineChars="200"/>
        <w:outlineLvl w:val="3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）在建工程情况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年12月31日，我部门/单位账面在建工程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万元，其中，在建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；停建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；建成未使用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万元,占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；已投入使用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；（未转固年限大于6个月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万元，处置</w:t>
      </w:r>
      <w:r>
        <w:rPr>
          <w:rFonts w:hint="eastAsia" w:ascii="宋体" w:eastAsia="宋体" w:hAnsiTheme="minorEastAsia"/>
          <w:color w:val="FF0000"/>
          <w:sz w:val="27"/>
        </w:rPr>
        <w:t>0.00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numPr>
          <w:ilvl w:val="0"/>
          <w:numId w:val="2"/>
        </w:numPr>
        <w:spacing w:line="360" w:lineRule="auto"/>
        <w:ind w:firstLine="643" w:firstLineChars="200"/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资产使用效益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0" w:leftChars="0" w:firstLine="643" w:firstLineChars="200"/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资产存量盘活和共享共用情况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资产保值增值情况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年12月31日，我部门/单位固定资产成新率为</w:t>
      </w:r>
      <w:r>
        <w:rPr>
          <w:rFonts w:hint="eastAsia" w:ascii="宋体" w:eastAsia="宋体" w:hAnsiTheme="minorEastAsia"/>
          <w:color w:val="FF0000"/>
          <w:sz w:val="27"/>
        </w:rPr>
        <w:t>59.26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%；公共基础设施成新率为</w:t>
      </w:r>
      <w:r>
        <w:rPr>
          <w:rFonts w:hint="eastAsia" w:ascii="宋体" w:eastAsia="宋体" w:hAnsiTheme="minorEastAsia"/>
          <w:color w:val="FF0000"/>
          <w:sz w:val="27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；保障性住房成新率为</w:t>
      </w:r>
      <w:r>
        <w:rPr>
          <w:rFonts w:hint="eastAsia" w:ascii="宋体" w:eastAsia="宋体" w:hAnsiTheme="minorEastAsia"/>
          <w:color w:val="FF0000"/>
          <w:sz w:val="27"/>
          <w:highlight w:val="none"/>
        </w:rPr>
        <w:t>0.00%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资产管理工作情况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(一)建立健全了资产配置标准体系。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(二)完善了工作流程和审核机制。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(三)实现对资产的动态监管。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(四)切实加强国有资产收入管理。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(五)必须做好重点资产与大型资产的配置工作。</w:t>
      </w:r>
    </w:p>
    <w:p>
      <w:pPr>
        <w:pStyle w:val="24"/>
        <w:ind w:left="1288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(六)加强了监督，严肃制度。</w:t>
      </w:r>
    </w:p>
    <w:p/>
    <w:p>
      <w:pPr>
        <w:spacing w:line="360" w:lineRule="auto"/>
        <w:ind w:firstLine="640" w:firstLineChars="20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保障</w:t>
      </w:r>
      <w:r>
        <w:rPr>
          <w:rFonts w:hint="eastAsia"/>
          <w:sz w:val="32"/>
          <w:szCs w:val="32"/>
          <w:lang w:eastAsia="zh-CN"/>
        </w:rPr>
        <w:t>单位履职和促进事业发展情况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高质量开展科普教育，提升全民科学素质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牵头制定《领导干部和公务员科学素质提升三年行动方案（2022-2024）年》《奈曼旗落实全民科学素质行动规划纲要年度工作计划》，明确成员单位工作任务目标，积极构建“大联合、大协作”的社会化科普工作格局。利用科技活动周、5.30全国科技工作者日、全国科普日等主题科普活动，面向城区中小学，组织开展了科普大篷车进校园、科技馆联合行动“大手拉小手科普报告汇”“中国科学家精神宣讲团通辽行”等活动，受益学生达3.5万余人次，组织驻镇4所中小学参加自治区农村牧区科普工作现场推进会，展示我旗基层科学教育成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组织全旗中小学生参加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届青少年科技创新大赛，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并推荐83个优秀作品参加通辽市青少年科技创新大赛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。面向社区老年人，组织开展“智慧助老”科普巡讲2场、开展老年人数字素养提升活动1场，帮助老年人尽快融入智慧社会，共享数字发展成果。积极组织参加全市公民科学素质大赛，我旗公务员代表获通辽市和自治区公民科学知识大赛最佳风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高标准打造科普阵地，提高服务受众水平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加强微信公众号“科普驿站”和科协网站管理，及时宣传报道科协工作动态，宣传推广“云上科普”小程序，普及科学知识。与旗融媒体中心合作，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整合双方优势资源，在“活力奈曼”建立科普宣传专栏，共同推进全媒体科学传播。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实施“科普报刊村村通工程”，免费为355个嘎查村订阅《内蒙古科技报》《身边科学》（蒙文版）。实施全国科技馆免费开放项目，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集中采购88.6万元科普展品，投放到航天科技展厅，进一步完善内部楼梯过道及场馆标识，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稳步推进旗科技馆建设，尽早面向社会公众免费开放。旗级消防科普教育基地、大沁他拉街道王府社区科普e站有序运行，开展活动24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次，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创建药材科技小院、王府社区科普社区、旗科技馆、哈沙图农村科普学校、青龙山谷子产业联合会和林果科技志愿服务队6个科普示范点，增强示范带动作用。新建科普阵地2个，建设八虎山庄科普长廊一处，开展科普研学活动2场次；建设完成下黄花塔拉嘎查科普文化广场，丰富了村民日常科学文化活动，为助力乡村振兴、提高农民科学素质夯实基础。</w:t>
      </w:r>
    </w:p>
    <w:p>
      <w:pPr>
        <w:pStyle w:val="2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资产管理工作存在的问题</w:t>
      </w:r>
    </w:p>
    <w:p>
      <w:pPr>
        <w:spacing w:line="360" w:lineRule="auto"/>
        <w:ind w:firstLine="640" w:firstLineChars="20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资产管理责任落实不到位，没有比较和详细的责任追究制度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业务人员业务知识培训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少。</w:t>
      </w:r>
    </w:p>
    <w:p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下一步工作思路</w:t>
      </w:r>
    </w:p>
    <w:p>
      <w:pPr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1、加强对相关业务人员业务知识培训，提高他们看家理财的本领。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2、切实加强固定资产报废处理工作。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3、强化监督，规范管理固定资产，预防资源闲置浪费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/>
    <w:p/>
    <w:p>
      <w:pPr>
        <w:spacing w:line="360" w:lineRule="auto"/>
        <w:ind w:firstLine="640" w:firstLineChars="20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3E2481-E5CD-4A66-9915-29C0E1F8A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673FBD-525C-4FB4-A509-748D0293216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0FFCFF-1EEA-4478-A4C7-96902A866CF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274F26F-7679-456D-B4D0-F9D0CA896D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6A322F3-9F52-451E-9D48-F0060FBADF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D15D5CE-0406-49DA-B061-759C07BA02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7AFD9F8-3F1E-4606-94AB-EC0D30C6A6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213D0"/>
    <w:multiLevelType w:val="multilevel"/>
    <w:tmpl w:val="D86213D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FFFBE22"/>
    <w:multiLevelType w:val="singleLevel"/>
    <w:tmpl w:val="FFFFBE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0NjMwNTEzYTI1ODJhZWQ3ZWZiMTRjYTk2ZDc0ZmEifQ=="/>
  </w:docVars>
  <w:rsids>
    <w:rsidRoot w:val="00FD6610"/>
    <w:rsid w:val="00241C0F"/>
    <w:rsid w:val="00301FD9"/>
    <w:rsid w:val="005D3A03"/>
    <w:rsid w:val="009C542F"/>
    <w:rsid w:val="00B62A8E"/>
    <w:rsid w:val="00BE5F0F"/>
    <w:rsid w:val="00F26BB8"/>
    <w:rsid w:val="00FD6610"/>
    <w:rsid w:val="00FE4507"/>
    <w:rsid w:val="00FE6F59"/>
    <w:rsid w:val="066537EA"/>
    <w:rsid w:val="07F71D26"/>
    <w:rsid w:val="0DB64549"/>
    <w:rsid w:val="0FB107F0"/>
    <w:rsid w:val="10D038FF"/>
    <w:rsid w:val="10FD27A9"/>
    <w:rsid w:val="110852F3"/>
    <w:rsid w:val="11256C04"/>
    <w:rsid w:val="1189484A"/>
    <w:rsid w:val="15365A49"/>
    <w:rsid w:val="1D64250D"/>
    <w:rsid w:val="1DDEE5E5"/>
    <w:rsid w:val="1E9439EC"/>
    <w:rsid w:val="1EBE114E"/>
    <w:rsid w:val="22A015F9"/>
    <w:rsid w:val="24874B22"/>
    <w:rsid w:val="2B431019"/>
    <w:rsid w:val="2B6F202A"/>
    <w:rsid w:val="2CED0E01"/>
    <w:rsid w:val="2D895431"/>
    <w:rsid w:val="2E247A0F"/>
    <w:rsid w:val="2F0E6DE7"/>
    <w:rsid w:val="39FB7C7F"/>
    <w:rsid w:val="3B2A3E33"/>
    <w:rsid w:val="3EFA4445"/>
    <w:rsid w:val="3FFFFBD4"/>
    <w:rsid w:val="447508CF"/>
    <w:rsid w:val="4755233D"/>
    <w:rsid w:val="47983B49"/>
    <w:rsid w:val="4CB46463"/>
    <w:rsid w:val="4DFB522D"/>
    <w:rsid w:val="4FFB1983"/>
    <w:rsid w:val="58FDAA5B"/>
    <w:rsid w:val="597FAE38"/>
    <w:rsid w:val="5A1A26D2"/>
    <w:rsid w:val="5B90005F"/>
    <w:rsid w:val="5E5733CE"/>
    <w:rsid w:val="5F941559"/>
    <w:rsid w:val="601A1D52"/>
    <w:rsid w:val="65BB069F"/>
    <w:rsid w:val="6D6655C6"/>
    <w:rsid w:val="75A1414F"/>
    <w:rsid w:val="77EFB86E"/>
    <w:rsid w:val="78FF1D38"/>
    <w:rsid w:val="79DBEFB0"/>
    <w:rsid w:val="7B0C744B"/>
    <w:rsid w:val="7BA78C88"/>
    <w:rsid w:val="7BBD1D48"/>
    <w:rsid w:val="7C3443F0"/>
    <w:rsid w:val="7DC85525"/>
    <w:rsid w:val="7DFDA1F2"/>
    <w:rsid w:val="7FFBB8EE"/>
    <w:rsid w:val="9FBF1888"/>
    <w:rsid w:val="A7CD1232"/>
    <w:rsid w:val="B69775F3"/>
    <w:rsid w:val="CBBB36B8"/>
    <w:rsid w:val="D7FFE2B7"/>
    <w:rsid w:val="E7D3E1ED"/>
    <w:rsid w:val="EBCEB964"/>
    <w:rsid w:val="EEBD2A42"/>
    <w:rsid w:val="EFEFDF57"/>
    <w:rsid w:val="F7FEBD01"/>
    <w:rsid w:val="F8F7CEFF"/>
    <w:rsid w:val="FEBDB67F"/>
    <w:rsid w:val="FFFB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黑体" w:asciiTheme="majorAscii" w:hAnsiTheme="majorAscii" w:cstheme="majorBidi"/>
      <w:b/>
      <w:sz w:val="24"/>
      <w:lang w:val="en-US" w:eastAsia="zh-CN" w:bidi="ar-SA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黑体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5">
    <w:name w:val="Title"/>
    <w:basedOn w:val="1"/>
    <w:qFormat/>
    <w:uiPriority w:val="10"/>
    <w:pPr>
      <w:spacing w:line="240" w:lineRule="auto"/>
      <w:ind w:firstLine="0" w:firstLineChars="0"/>
      <w:jc w:val="center"/>
      <w:outlineLvl w:val="0"/>
    </w:pPr>
    <w:rPr>
      <w:rFonts w:asciiTheme="majorEastAsia" w:hAnsiTheme="majorEastAsia"/>
      <w:b/>
      <w:sz w:val="52"/>
      <w:szCs w:val="4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rFonts w:ascii="Arial" w:hAnsi="Arial" w:eastAsia="黑体"/>
      <w:b/>
      <w:color w:val="auto"/>
      <w:u w:val="single"/>
    </w:rPr>
  </w:style>
  <w:style w:type="character" w:styleId="20">
    <w:name w:val="Emphasis"/>
    <w:basedOn w:val="18"/>
    <w:qFormat/>
    <w:uiPriority w:val="20"/>
    <w:rPr>
      <w:rFonts w:ascii="Arial" w:hAnsi="Arial" w:eastAsia="黑体"/>
      <w:b/>
      <w:bCs/>
      <w:i/>
      <w:color w:val="auto"/>
      <w:sz w:val="24"/>
      <w:szCs w:val="22"/>
    </w:rPr>
  </w:style>
  <w:style w:type="character" w:customStyle="1" w:styleId="21">
    <w:name w:val="页眉 字符"/>
    <w:link w:val="13"/>
    <w:qFormat/>
    <w:uiPriority w:val="99"/>
    <w:rPr>
      <w:sz w:val="18"/>
    </w:rPr>
  </w:style>
  <w:style w:type="character" w:customStyle="1" w:styleId="22">
    <w:name w:val="页脚 字符"/>
    <w:link w:val="12"/>
    <w:qFormat/>
    <w:uiPriority w:val="99"/>
    <w:rPr>
      <w:sz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styleId="2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资产分布情况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Sheet1!$A$2:$A$3</c:f>
              <c:strCache>
                <c:ptCount val="2"/>
                <c:pt idx="0">
                  <c:v>行政单位</c:v>
                </c:pt>
                <c:pt idx="1">
                  <c:v>事业单位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99.83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6350" cap="flat" cmpd="sng" algn="ctr">
      <a:noFill/>
      <a:prstDash val="solid"/>
      <a:round/>
    </a:ln>
  </c:spPr>
  <c:txPr>
    <a:bodyPr/>
    <a:lstStyle/>
    <a:p>
      <a:pPr>
        <a:defRPr lang="zh-CN" sz="18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资产构成情况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Sheet1!$A$2:$A$10</c:f>
              <c:strCache>
                <c:ptCount val="9"/>
                <c:pt idx="0">
                  <c:v>流动资产</c:v>
                </c:pt>
                <c:pt idx="1">
                  <c:v>固定资产</c:v>
                </c:pt>
                <c:pt idx="2">
                  <c:v>在建工程</c:v>
                </c:pt>
                <c:pt idx="3">
                  <c:v>长期投资</c:v>
                </c:pt>
                <c:pt idx="4">
                  <c:v>无形资产</c:v>
                </c:pt>
                <c:pt idx="5">
                  <c:v>公共基础设施</c:v>
                </c:pt>
                <c:pt idx="6">
                  <c:v>政府储备物资</c:v>
                </c:pt>
                <c:pt idx="7">
                  <c:v>文物文化资产</c:v>
                </c:pt>
                <c:pt idx="8">
                  <c:v>保障性住房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3.98</c:v>
                </c:pt>
                <c:pt idx="1">
                  <c:v>95.85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6350" cap="flat" cmpd="sng" algn="ctr">
      <a:noFill/>
      <a:prstDash val="solid"/>
      <a:round/>
    </a:ln>
  </c:spPr>
  <c:txPr>
    <a:bodyPr/>
    <a:lstStyle/>
    <a:p>
      <a:pPr>
        <a:defRPr lang="zh-CN" sz="180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资产处置情况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系列1</c:v>
                </c:pt>
              </c:strCache>
            </c:strRef>
          </c:tx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2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固定资产</c:v>
                </c:pt>
                <c:pt idx="1">
                  <c:v>无形资产</c:v>
                </c:pt>
                <c:pt idx="2">
                  <c:v>在建工程</c:v>
                </c:pt>
                <c:pt idx="3">
                  <c:v>长期投资</c:v>
                </c:pt>
                <c:pt idx="4">
                  <c:v>其他资产</c:v>
                </c:pt>
                <c:pt idx="5">
                  <c:v>流动资产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393100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2068027336"/>
        <c:crosses val="autoZero"/>
        <c:crossBetween val="between"/>
      </c:valAx>
    </c:plotArea>
    <c:plotVisOnly val="1"/>
    <c:dispBlanksAs val="gap"/>
    <c:showDLblsOverMax val="0"/>
  </c:chart>
  <c:spPr>
    <a:ln w="6350" cap="flat" cmpd="sng" algn="ctr">
      <a:noFill/>
      <a:prstDash val="solid"/>
      <a:round/>
    </a:ln>
  </c:spPr>
  <c:txPr>
    <a:bodyPr/>
    <a:lstStyle/>
    <a:p>
      <a:pPr>
        <a:defRPr lang="zh-CN" sz="18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3627</Words>
  <Characters>4647</Characters>
  <Lines>73</Lines>
  <Paragraphs>20</Paragraphs>
  <TotalTime>1</TotalTime>
  <ScaleCrop>false</ScaleCrop>
  <LinksUpToDate>false</LinksUpToDate>
  <CharactersWithSpaces>4658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2023-02-14T08:09:00Z</dcterms:created>
  <dc:creator>李 海云</dc:creator>
  <cp:lastModifiedBy>差不多小姐</cp:lastModifiedBy>
  <dcterms:modified xsi:type="dcterms:W3CDTF">2024-06-27T02:58:15Z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3A31646CB44243BC99C4DFAF8B3E1B1F_13</vt:lpwstr>
  </property>
</Properties>
</file>