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pacing w:before="0" w:after="322"/>
        <w:jc w:val="center"/>
        <w:rPr>
          <w:rFonts w:ascii="Times New Roman" w:hAnsi="Times New Roman" w:eastAsia="Times New Roman" w:cs="Times New Roman"/>
          <w:b/>
          <w:bCs/>
          <w:kern w:val="0"/>
          <w:sz w:val="48"/>
          <w:szCs w:val="48"/>
        </w:rPr>
      </w:pPr>
      <w:bookmarkStart w:id="0" w:name="a000"/>
      <w:r>
        <w:rPr>
          <w:rFonts w:ascii="Times New Roman" w:hAnsi="Times New Roman" w:eastAsia="Times New Roman" w:cs="Times New Roman"/>
          <w:b/>
          <w:bCs/>
          <w:color w:val="auto"/>
          <w:kern w:val="36"/>
          <w:sz w:val="48"/>
          <w:szCs w:val="48"/>
        </w:rPr>
        <w:t>2023</w:t>
      </w:r>
      <w:r>
        <w:rPr>
          <w:rFonts w:ascii="宋体" w:hAnsi="宋体" w:eastAsia="宋体" w:cs="宋体"/>
          <w:b/>
          <w:bCs/>
          <w:color w:val="auto"/>
          <w:kern w:val="36"/>
          <w:sz w:val="48"/>
          <w:szCs w:val="48"/>
        </w:rPr>
        <w:t>年度部门决算分析报告</w:t>
      </w:r>
    </w:p>
    <w:p>
      <w:pPr>
        <w:widowControl/>
        <w:spacing w:before="240" w:after="240"/>
        <w:jc w:val="left"/>
        <w:rPr>
          <w:rFonts w:ascii="Times New Roman" w:hAnsi="Times New Roman" w:eastAsia="Times New Roman" w:cs="Times New Roman"/>
          <w:kern w:val="0"/>
          <w:sz w:val="24"/>
          <w:szCs w:val="24"/>
        </w:rPr>
      </w:pPr>
    </w:p>
    <w:p>
      <w:pPr>
        <w:pStyle w:val="4"/>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b/>
          <w:bCs/>
          <w:color w:val="auto"/>
          <w:kern w:val="0"/>
          <w:sz w:val="36"/>
          <w:szCs w:val="36"/>
        </w:rPr>
        <w:t>一、单位情况</w:t>
      </w:r>
    </w:p>
    <w:p>
      <w:pPr>
        <w:pStyle w:val="5"/>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w:t>
      </w:r>
      <w:r>
        <w:rPr>
          <w:rFonts w:ascii="宋体" w:hAnsi="宋体" w:eastAsia="宋体" w:cs="宋体"/>
          <w:b/>
          <w:bCs/>
          <w:color w:val="auto"/>
          <w:kern w:val="0"/>
          <w:sz w:val="28"/>
          <w:szCs w:val="28"/>
        </w:rPr>
        <w:t>（一）基本情况。</w:t>
      </w:r>
    </w:p>
    <w:p>
      <w:pPr>
        <w:widowControl/>
        <w:spacing w:line="560" w:lineRule="exact"/>
        <w:ind w:firstLine="680"/>
        <w:rPr>
          <w:rFonts w:ascii="宋体" w:hAnsi="宋体" w:eastAsia="宋体" w:cs="宋体"/>
          <w:kern w:val="0"/>
          <w:sz w:val="24"/>
          <w:szCs w:val="24"/>
        </w:rPr>
      </w:pPr>
      <w:r>
        <w:rPr>
          <w:rFonts w:ascii="Times New Roman" w:hAnsi="Times New Roman" w:eastAsia="Times New Roman" w:cs="Times New Roman"/>
          <w:kern w:val="0"/>
          <w:sz w:val="24"/>
          <w:szCs w:val="24"/>
        </w:rPr>
        <w:t>  1</w:t>
      </w:r>
      <w:r>
        <w:rPr>
          <w:rFonts w:ascii="宋体" w:hAnsi="宋体" w:eastAsia="宋体" w:cs="宋体"/>
          <w:kern w:val="0"/>
          <w:sz w:val="24"/>
          <w:szCs w:val="24"/>
        </w:rPr>
        <w:t>．主要职能。</w:t>
      </w:r>
    </w:p>
    <w:p>
      <w:pPr>
        <w:widowControl/>
        <w:spacing w:line="560" w:lineRule="exact"/>
        <w:ind w:firstLine="680"/>
        <w:rPr>
          <w:rFonts w:hint="eastAsia" w:ascii="宋体" w:hAnsi="宋体" w:eastAsia="宋体" w:cs="宋体"/>
          <w:kern w:val="0"/>
          <w:sz w:val="24"/>
          <w:szCs w:val="24"/>
          <w:lang w:val="zh-CN"/>
        </w:rPr>
      </w:pPr>
      <w:r>
        <w:rPr>
          <w:rFonts w:hint="eastAsia" w:ascii="宋体" w:hAnsi="宋体" w:eastAsia="宋体" w:cs="宋体"/>
          <w:kern w:val="0"/>
          <w:sz w:val="24"/>
          <w:szCs w:val="24"/>
        </w:rPr>
        <w:t>奈曼旗</w:t>
      </w:r>
      <w:r>
        <w:rPr>
          <w:rFonts w:hint="eastAsia" w:ascii="宋体" w:hAnsi="宋体" w:eastAsia="宋体" w:cs="宋体"/>
          <w:kern w:val="0"/>
          <w:sz w:val="24"/>
          <w:szCs w:val="24"/>
          <w:lang w:eastAsia="zh-CN"/>
        </w:rPr>
        <w:t>区域经济合作与金融服务局</w:t>
      </w:r>
      <w:r>
        <w:rPr>
          <w:rFonts w:hint="eastAsia" w:ascii="宋体" w:hAnsi="宋体" w:eastAsia="宋体" w:cs="宋体"/>
          <w:kern w:val="0"/>
          <w:sz w:val="24"/>
          <w:szCs w:val="24"/>
          <w:lang w:val="zh-CN"/>
        </w:rPr>
        <w:t>是旗政府的职能部门，负责领导和管理全旗的商务工作，主要工作职责如下：</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⑴贯彻执行国家和自治区有关商贸流通、对外贸易、国际经济合作、外商投资等工作的法律法规、方针政策。拟订全旗商贸流通、对外贸易、国际经济合作、外商投资等工作的发展规划，并组织实施。</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⑵推进流通产业结构调整，指导商贸服务业和社区商业发展，提出促进中小商贸企业发展的政策建议，推动流通标准化和连锁经营、商业特许经营、物流配送、电子商务等现代流通方式的发展。</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⑶研究提出促进市场体系建设的措施办法，促进城乡市场发展。指导大宗产品批发市场规划和城市商业网点规划，推进商业体系建设工作。推进农村市场体系建设，组织实施农村现代流通网络工程，推动电子商务进农村工作。</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⑷组织实施全旗重要消费品市场调控和重要生产资料流通管理，加强生活必需品市场供应应急管理。监测分析市场运行、商品供求状况。调查分析商品价格信息，进行预测预警和信息引导。负责肉类等重要消费品储备管理和市场调控。依法对成品油流通进行监督管理。</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⑸拟订全旗促进外贸增长方式转变的政策措施。指导全旗贸易促进活动和外贸促进体系建设，依法组织实施对外贸易相关商品、技术进出口计划管理。</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⑹执行国家对外技术贸易、出口管制以及鼓励技术和成套设备进出口的贸易政策。推进进出口贸易标准化工作。依法监督技术引进、设备进口、国家限制出口技术的工作。</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⑺执行国家和自治区服务贸易发展规划并开展相关工作。会同有关部门制定落实国家和自治区促进服务出口和服务外包发展规划、政策的具体措施并组织实施，推动服务外包平台建设。负责全旗会展业促进与管理工作，管理党政机关境内举办展会活动。</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⑻根据授权代表奈曼旗人民政府同外国进行经贸谈判并签署有关文件，处理国别（地区）地方间经贸关系中的重要事务。联系外国驻华官方商务机构、外商驻自治区代表机构和我国驻外使（领）馆经商处。</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⑼落实我国加入世贸组织的相关政策和法律法规，并协助市商务局开展相关工作。协调指导进出口公平贸易的相关工作。</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⑽负责奈曼旗对外经济合作工作，加强与俄罗斯、蒙古国和“一带一路”沿线国家的经贸合作。执行国家、自治区对外经济合作政策，依法管理对外承包工程、外派劳务、境外资源合作、对外投资开办企业（金融企业除外）。承担奈曼旗对外援助工作管理职责和国家对外援助项目。</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⑾贯彻执行国家、自治区外商投资政策、法规，指导和管理外商投资工作。会同有关部门制定利用外商投资的政策措施和发展规划。依法承担外商投资企业设立、变更等事项的审批和申报工作。</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⑿牵头协调整顿和规范全旗市场经济秩序，指导商业信用销售，推动市场诚信公共服务平台建设。按有关规定对特殊流通行业进行监督管理。负责督促指导商贸服务业、大型商贸（会展）活动场所的安全生产工作。</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⒀、完成旗委或政府交办的其他任务。</w:t>
      </w:r>
    </w:p>
    <w:p>
      <w:pPr>
        <w:widowControl/>
        <w:spacing w:line="560" w:lineRule="exact"/>
        <w:ind w:firstLine="680"/>
        <w:rPr>
          <w:rFonts w:ascii="宋体" w:hAnsi="宋体" w:eastAsia="宋体" w:cs="宋体"/>
          <w:kern w:val="0"/>
          <w:sz w:val="24"/>
          <w:szCs w:val="24"/>
        </w:rPr>
      </w:pPr>
    </w:p>
    <w:p>
      <w:pPr>
        <w:widowControl/>
        <w:numPr>
          <w:ilvl w:val="0"/>
          <w:numId w:val="0"/>
        </w:numPr>
        <w:spacing w:before="240" w:after="24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lang w:val="en-US" w:eastAsia="zh-CN"/>
        </w:rPr>
        <w:t>2.</w:t>
      </w:r>
      <w:r>
        <w:rPr>
          <w:rFonts w:ascii="宋体" w:hAnsi="宋体" w:eastAsia="宋体" w:cs="宋体"/>
          <w:kern w:val="0"/>
          <w:sz w:val="24"/>
          <w:szCs w:val="24"/>
        </w:rPr>
        <w:t>机构情况：本单位奈曼旗区域经济合作与金融服务局，二级预算单位，报表类型为：单户表，</w:t>
      </w:r>
      <w:r>
        <w:rPr>
          <w:rFonts w:hint="eastAsia" w:ascii="宋体" w:hAnsi="宋体" w:eastAsia="宋体" w:cs="宋体"/>
          <w:kern w:val="0"/>
          <w:sz w:val="24"/>
          <w:szCs w:val="24"/>
          <w:lang w:val="en-US" w:eastAsia="zh-CN"/>
        </w:rPr>
        <w:t>局机关内设综合办公室、金融发展股、内外贸易股、市场秩序股、金融和电子商务服务中心等股室。</w:t>
      </w:r>
    </w:p>
    <w:p>
      <w:pPr>
        <w:widowControl/>
        <w:numPr>
          <w:ilvl w:val="0"/>
          <w:numId w:val="0"/>
        </w:numPr>
        <w:spacing w:before="240" w:after="240"/>
        <w:ind w:firstLine="480" w:firstLineChars="200"/>
        <w:jc w:val="left"/>
        <w:rPr>
          <w:rFonts w:hint="eastAsia" w:ascii="宋体" w:hAnsi="宋体" w:eastAsia="宋体" w:cs="宋体"/>
          <w:kern w:val="0"/>
          <w:sz w:val="24"/>
          <w:szCs w:val="24"/>
          <w:lang w:eastAsia="zh-CN"/>
        </w:rPr>
      </w:pPr>
      <w:r>
        <w:rPr>
          <w:rFonts w:ascii="Times New Roman" w:hAnsi="Times New Roman" w:eastAsia="Times New Roman" w:cs="Times New Roman"/>
          <w:kern w:val="0"/>
          <w:sz w:val="24"/>
          <w:szCs w:val="24"/>
        </w:rPr>
        <w:t>3</w:t>
      </w:r>
      <w:r>
        <w:rPr>
          <w:rFonts w:ascii="宋体" w:hAnsi="宋体" w:eastAsia="宋体" w:cs="宋体"/>
          <w:kern w:val="0"/>
          <w:sz w:val="24"/>
          <w:szCs w:val="24"/>
        </w:rPr>
        <w:t>．</w:t>
      </w:r>
      <w:r>
        <w:rPr>
          <w:rFonts w:ascii="宋体" w:hAnsi="宋体" w:eastAsia="宋体" w:cs="宋体"/>
          <w:color w:val="auto"/>
          <w:kern w:val="0"/>
          <w:sz w:val="24"/>
          <w:szCs w:val="24"/>
        </w:rPr>
        <w:t>人员情况：年末独立核算机构数：</w:t>
      </w:r>
      <w:r>
        <w:rPr>
          <w:rFonts w:ascii="Times New Roman" w:hAnsi="Times New Roman" w:eastAsia="Times New Roman" w:cs="Times New Roman"/>
          <w:color w:val="auto"/>
          <w:kern w:val="0"/>
          <w:sz w:val="24"/>
          <w:szCs w:val="24"/>
        </w:rPr>
        <w:t xml:space="preserve">1 </w:t>
      </w:r>
      <w:r>
        <w:rPr>
          <w:rFonts w:ascii="宋体" w:hAnsi="宋体" w:eastAsia="宋体" w:cs="宋体"/>
          <w:color w:val="auto"/>
          <w:kern w:val="0"/>
          <w:sz w:val="24"/>
          <w:szCs w:val="24"/>
        </w:rPr>
        <w:t>个，在职人员：</w:t>
      </w:r>
      <w:r>
        <w:rPr>
          <w:rFonts w:ascii="Times New Roman" w:hAnsi="Times New Roman" w:eastAsia="Times New Roman" w:cs="Times New Roman"/>
          <w:color w:val="auto"/>
          <w:kern w:val="0"/>
          <w:sz w:val="24"/>
          <w:szCs w:val="24"/>
        </w:rPr>
        <w:t xml:space="preserve">  19 </w:t>
      </w:r>
      <w:r>
        <w:rPr>
          <w:rFonts w:ascii="宋体" w:hAnsi="宋体" w:eastAsia="宋体" w:cs="宋体"/>
          <w:color w:val="auto"/>
          <w:kern w:val="0"/>
          <w:sz w:val="24"/>
          <w:szCs w:val="24"/>
        </w:rPr>
        <w:t>人，离休人员：</w:t>
      </w:r>
      <w:r>
        <w:rPr>
          <w:rFonts w:hint="eastAsia" w:ascii="Times New Roman" w:hAnsi="Times New Roman" w:eastAsia="宋体" w:cs="Times New Roman"/>
          <w:color w:val="auto"/>
          <w:kern w:val="0"/>
          <w:sz w:val="24"/>
          <w:szCs w:val="24"/>
          <w:lang w:val="en-US" w:eastAsia="zh-CN"/>
        </w:rPr>
        <w:t>0</w:t>
      </w:r>
      <w:r>
        <w:rPr>
          <w:rFonts w:ascii="宋体" w:hAnsi="宋体" w:eastAsia="宋体" w:cs="宋体"/>
          <w:color w:val="auto"/>
          <w:kern w:val="0"/>
          <w:sz w:val="24"/>
          <w:szCs w:val="24"/>
        </w:rPr>
        <w:t>人，退休人员：</w:t>
      </w:r>
      <w:r>
        <w:rPr>
          <w:rFonts w:ascii="Times New Roman" w:hAnsi="Times New Roman" w:eastAsia="Times New Roman" w:cs="Times New Roman"/>
          <w:color w:val="auto"/>
          <w:kern w:val="0"/>
          <w:sz w:val="24"/>
          <w:szCs w:val="24"/>
        </w:rPr>
        <w:t>31  </w:t>
      </w:r>
      <w:r>
        <w:rPr>
          <w:rFonts w:ascii="宋体" w:hAnsi="宋体" w:eastAsia="宋体" w:cs="宋体"/>
          <w:color w:val="auto"/>
          <w:kern w:val="0"/>
          <w:sz w:val="24"/>
          <w:szCs w:val="24"/>
        </w:rPr>
        <w:t>人，</w:t>
      </w:r>
      <w:r>
        <w:rPr>
          <w:rFonts w:hint="eastAsia" w:ascii="宋体" w:hAnsi="宋体" w:eastAsia="宋体" w:cs="宋体"/>
          <w:color w:val="auto"/>
          <w:kern w:val="0"/>
          <w:sz w:val="24"/>
          <w:szCs w:val="24"/>
          <w:lang w:eastAsia="zh-CN"/>
        </w:rPr>
        <w:t>编外长聘人员</w:t>
      </w:r>
      <w:r>
        <w:rPr>
          <w:rFonts w:hint="eastAsia" w:ascii="宋体" w:hAnsi="宋体" w:eastAsia="宋体" w:cs="宋体"/>
          <w:color w:val="auto"/>
          <w:kern w:val="0"/>
          <w:sz w:val="24"/>
          <w:szCs w:val="24"/>
          <w:lang w:val="en-US" w:eastAsia="zh-CN"/>
        </w:rPr>
        <w:t>3人，</w:t>
      </w:r>
      <w:r>
        <w:rPr>
          <w:rFonts w:ascii="宋体" w:hAnsi="宋体" w:eastAsia="宋体" w:cs="宋体"/>
          <w:color w:val="auto"/>
          <w:kern w:val="0"/>
          <w:sz w:val="24"/>
          <w:szCs w:val="24"/>
        </w:rPr>
        <w:t>实有人数</w:t>
      </w:r>
      <w:r>
        <w:rPr>
          <w:rFonts w:hint="eastAsia" w:ascii="Times New Roman" w:hAnsi="Times New Roman" w:eastAsia="宋体" w:cs="Times New Roman"/>
          <w:color w:val="auto"/>
          <w:kern w:val="0"/>
          <w:sz w:val="24"/>
          <w:szCs w:val="24"/>
          <w:lang w:val="en-US" w:eastAsia="zh-CN"/>
        </w:rPr>
        <w:t>53人，</w:t>
      </w:r>
      <w:r>
        <w:rPr>
          <w:rFonts w:ascii="宋体" w:hAnsi="宋体" w:eastAsia="宋体" w:cs="宋体"/>
          <w:color w:val="auto"/>
          <w:kern w:val="0"/>
          <w:sz w:val="24"/>
          <w:szCs w:val="24"/>
        </w:rPr>
        <w:t>一般公共预算财政拨款开支人员：</w:t>
      </w:r>
      <w:r>
        <w:rPr>
          <w:rFonts w:ascii="Times New Roman" w:hAnsi="Times New Roman" w:eastAsia="Times New Roman" w:cs="Times New Roman"/>
          <w:color w:val="auto"/>
          <w:kern w:val="0"/>
          <w:sz w:val="24"/>
          <w:szCs w:val="24"/>
        </w:rPr>
        <w:t>5</w:t>
      </w:r>
      <w:r>
        <w:rPr>
          <w:rFonts w:hint="eastAsia" w:ascii="Times New Roman" w:hAnsi="Times New Roman" w:eastAsia="宋体" w:cs="Times New Roman"/>
          <w:color w:val="auto"/>
          <w:kern w:val="0"/>
          <w:sz w:val="24"/>
          <w:szCs w:val="24"/>
          <w:lang w:val="en-US" w:eastAsia="zh-CN"/>
        </w:rPr>
        <w:t>3</w:t>
      </w:r>
      <w:r>
        <w:rPr>
          <w:rFonts w:ascii="宋体" w:hAnsi="宋体" w:eastAsia="宋体" w:cs="宋体"/>
          <w:color w:val="auto"/>
          <w:kern w:val="0"/>
          <w:sz w:val="24"/>
          <w:szCs w:val="24"/>
        </w:rPr>
        <w:t>人，年末遗属人员：</w:t>
      </w:r>
      <w:r>
        <w:rPr>
          <w:rFonts w:ascii="Times New Roman" w:hAnsi="Times New Roman" w:eastAsia="Times New Roman" w:cs="Times New Roman"/>
          <w:color w:val="auto"/>
          <w:kern w:val="0"/>
          <w:sz w:val="24"/>
          <w:szCs w:val="24"/>
        </w:rPr>
        <w:t xml:space="preserve"> 7 </w:t>
      </w:r>
      <w:r>
        <w:rPr>
          <w:rFonts w:ascii="宋体" w:hAnsi="宋体" w:eastAsia="宋体" w:cs="宋体"/>
          <w:color w:val="auto"/>
          <w:kern w:val="0"/>
          <w:sz w:val="24"/>
          <w:szCs w:val="24"/>
        </w:rPr>
        <w:t>人，</w:t>
      </w:r>
      <w:r>
        <w:rPr>
          <w:rFonts w:ascii="宋体" w:hAnsi="宋体" w:eastAsia="宋体" w:cs="宋体"/>
          <w:kern w:val="0"/>
          <w:sz w:val="24"/>
          <w:szCs w:val="24"/>
        </w:rPr>
        <w:t>如有变动请分析原因</w:t>
      </w:r>
      <w:r>
        <w:rPr>
          <w:rFonts w:hint="eastAsia" w:ascii="宋体" w:hAnsi="宋体" w:eastAsia="宋体" w:cs="宋体"/>
          <w:kern w:val="0"/>
          <w:sz w:val="24"/>
          <w:szCs w:val="24"/>
          <w:lang w:eastAsia="zh-CN"/>
        </w:rPr>
        <w:t>：</w:t>
      </w:r>
    </w:p>
    <w:p>
      <w:pPr>
        <w:widowControl/>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（1）年末在职人员：年初实有人员</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人（公务员</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人、事业人员</w:t>
      </w: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人），本年度</w:t>
      </w:r>
      <w:r>
        <w:rPr>
          <w:rFonts w:hint="eastAsia" w:ascii="宋体" w:hAnsi="宋体" w:eastAsia="宋体" w:cs="宋体"/>
          <w:kern w:val="0"/>
          <w:sz w:val="24"/>
          <w:szCs w:val="24"/>
          <w:lang w:eastAsia="zh-CN"/>
        </w:rPr>
        <w:t>调入公务员</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、事业人员中</w:t>
      </w:r>
      <w:r>
        <w:rPr>
          <w:rFonts w:hint="eastAsia" w:ascii="宋体" w:hAnsi="宋体" w:eastAsia="宋体" w:cs="宋体"/>
          <w:kern w:val="0"/>
          <w:sz w:val="24"/>
          <w:szCs w:val="24"/>
          <w:lang w:val="en-US" w:eastAsia="zh-CN"/>
        </w:rPr>
        <w:t>2名统配生及一名分流人员工3人本年列入编外长聘人员</w:t>
      </w:r>
      <w:r>
        <w:rPr>
          <w:rFonts w:hint="eastAsia" w:ascii="宋体" w:hAnsi="宋体" w:eastAsia="宋体" w:cs="宋体"/>
          <w:kern w:val="0"/>
          <w:sz w:val="24"/>
          <w:szCs w:val="24"/>
        </w:rPr>
        <w:t>，年末实有人数</w:t>
      </w: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人（公务员</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人、事业人员</w:t>
      </w:r>
      <w:r>
        <w:rPr>
          <w:rFonts w:hint="eastAsia" w:ascii="宋体" w:hAnsi="宋体" w:eastAsia="宋体" w:cs="宋体"/>
          <w:kern w:val="0"/>
          <w:sz w:val="24"/>
          <w:szCs w:val="24"/>
          <w:lang w:val="en-US" w:eastAsia="zh-CN"/>
        </w:rPr>
        <w:t>11</w:t>
      </w:r>
      <w:r>
        <w:rPr>
          <w:rFonts w:hint="eastAsia" w:ascii="宋体" w:hAnsi="宋体" w:eastAsia="宋体" w:cs="宋体"/>
          <w:kern w:val="0"/>
          <w:sz w:val="24"/>
          <w:szCs w:val="24"/>
        </w:rPr>
        <w:t>人）。</w:t>
      </w:r>
    </w:p>
    <w:p>
      <w:pPr>
        <w:widowControl/>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（2）年末离退休人员：年初实有离休人员</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人，</w:t>
      </w:r>
      <w:r>
        <w:rPr>
          <w:rFonts w:hint="eastAsia" w:ascii="宋体" w:hAnsi="宋体" w:eastAsia="宋体" w:cs="宋体"/>
          <w:kern w:val="0"/>
          <w:sz w:val="24"/>
          <w:szCs w:val="24"/>
          <w:lang w:val="en-US" w:eastAsia="zh-CN"/>
        </w:rPr>
        <w:t>本年年初退休人员34人项目外工资由社保局发放改为财政局发放。本年度离休人员去世1人，退休人员去世3人，</w:t>
      </w:r>
      <w:r>
        <w:rPr>
          <w:rFonts w:hint="eastAsia" w:ascii="宋体" w:hAnsi="宋体" w:eastAsia="宋体" w:cs="宋体"/>
          <w:kern w:val="0"/>
          <w:sz w:val="24"/>
          <w:szCs w:val="24"/>
        </w:rPr>
        <w:t>年末离休人员</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，退休人员</w:t>
      </w:r>
      <w:r>
        <w:rPr>
          <w:rFonts w:hint="eastAsia" w:ascii="宋体" w:hAnsi="宋体" w:eastAsia="宋体" w:cs="宋体"/>
          <w:kern w:val="0"/>
          <w:sz w:val="24"/>
          <w:szCs w:val="24"/>
          <w:lang w:val="en-US" w:eastAsia="zh-CN"/>
        </w:rPr>
        <w:t>31人</w:t>
      </w:r>
      <w:r>
        <w:rPr>
          <w:rFonts w:hint="eastAsia" w:ascii="宋体" w:hAnsi="宋体" w:eastAsia="宋体" w:cs="宋体"/>
          <w:kern w:val="0"/>
          <w:sz w:val="24"/>
          <w:szCs w:val="24"/>
        </w:rPr>
        <w:t>。</w:t>
      </w:r>
    </w:p>
    <w:p>
      <w:pPr>
        <w:widowControl/>
        <w:spacing w:before="240" w:after="240"/>
        <w:jc w:val="left"/>
        <w:rPr>
          <w:rFonts w:hint="eastAsia" w:ascii="仿宋_GB2312" w:hAnsi="仿宋" w:eastAsia="仿宋_GB2312"/>
          <w:sz w:val="32"/>
          <w:szCs w:val="32"/>
        </w:rPr>
      </w:pPr>
      <w:r>
        <w:rPr>
          <w:rFonts w:hint="eastAsia" w:ascii="宋体" w:hAnsi="宋体" w:eastAsia="宋体" w:cs="宋体"/>
          <w:kern w:val="0"/>
          <w:sz w:val="24"/>
          <w:szCs w:val="24"/>
        </w:rPr>
        <w:t>（3）遗属人员：年初遗属人员</w:t>
      </w: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人，</w:t>
      </w:r>
      <w:r>
        <w:rPr>
          <w:rFonts w:hint="eastAsia" w:ascii="宋体" w:hAnsi="宋体" w:eastAsia="宋体" w:cs="宋体"/>
          <w:kern w:val="0"/>
          <w:sz w:val="24"/>
          <w:szCs w:val="24"/>
          <w:lang w:eastAsia="zh-CN"/>
        </w:rPr>
        <w:t>本年度去世</w:t>
      </w:r>
      <w:r>
        <w:rPr>
          <w:rFonts w:hint="eastAsia" w:ascii="宋体" w:hAnsi="宋体" w:eastAsia="宋体" w:cs="宋体"/>
          <w:kern w:val="0"/>
          <w:sz w:val="24"/>
          <w:szCs w:val="24"/>
          <w:lang w:val="en-US" w:eastAsia="zh-CN"/>
        </w:rPr>
        <w:t>1人，</w:t>
      </w:r>
      <w:r>
        <w:rPr>
          <w:rFonts w:hint="eastAsia" w:ascii="宋体" w:hAnsi="宋体" w:eastAsia="宋体" w:cs="宋体"/>
          <w:kern w:val="0"/>
          <w:sz w:val="24"/>
          <w:szCs w:val="24"/>
        </w:rPr>
        <w:t>年末实有人员</w:t>
      </w: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人。</w:t>
      </w:r>
    </w:p>
    <w:p>
      <w:pPr>
        <w:widowControl/>
        <w:spacing w:before="240" w:after="240"/>
        <w:jc w:val="left"/>
        <w:rPr>
          <w:rFonts w:hint="default" w:ascii="Times New Roman" w:hAnsi="Times New Roman" w:eastAsia="宋体" w:cs="Times New Roman"/>
          <w:kern w:val="0"/>
          <w:sz w:val="24"/>
          <w:szCs w:val="24"/>
          <w:lang w:val="en-US" w:eastAsia="zh-CN"/>
        </w:rPr>
      </w:pP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lang w:val="en-US" w:eastAsia="zh-CN"/>
        </w:rPr>
        <w:t>4</w:t>
      </w:r>
      <w:r>
        <w:rPr>
          <w:rFonts w:hint="eastAsia" w:ascii="Times New Roman" w:hAnsi="Times New Roman" w:eastAsia="宋体" w:cs="Times New Roman"/>
          <w:kern w:val="0"/>
          <w:sz w:val="24"/>
          <w:szCs w:val="24"/>
          <w:lang w:eastAsia="zh-CN"/>
        </w:rPr>
        <w:t>）其他人员：我单位有统配生</w:t>
      </w:r>
      <w:r>
        <w:rPr>
          <w:rFonts w:hint="eastAsia" w:ascii="Times New Roman" w:hAnsi="Times New Roman" w:eastAsia="宋体" w:cs="Times New Roman"/>
          <w:kern w:val="0"/>
          <w:sz w:val="24"/>
          <w:szCs w:val="24"/>
          <w:lang w:val="en-US" w:eastAsia="zh-CN"/>
        </w:rPr>
        <w:t>2人及分流人员1人。</w:t>
      </w:r>
    </w:p>
    <w:p>
      <w:pPr>
        <w:pStyle w:val="5"/>
        <w:keepNext w:val="0"/>
        <w:keepLines w:val="0"/>
        <w:widowControl/>
        <w:spacing w:before="281" w:after="281"/>
        <w:jc w:val="left"/>
        <w:rPr>
          <w:rFonts w:ascii="宋体" w:hAnsi="宋体" w:eastAsia="宋体" w:cs="宋体"/>
          <w:color w:val="0000FF"/>
          <w:kern w:val="0"/>
          <w:sz w:val="24"/>
          <w:szCs w:val="24"/>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（二）当年取得的主要事业成效。</w:t>
      </w:r>
    </w:p>
    <w:p>
      <w:pPr>
        <w:widowControl/>
        <w:spacing w:line="560" w:lineRule="exact"/>
        <w:ind w:firstLine="68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一）商贸流通业持续发展</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一是</w:t>
      </w:r>
      <w:r>
        <w:rPr>
          <w:rFonts w:hint="eastAsia" w:ascii="宋体" w:hAnsi="宋体" w:eastAsia="宋体" w:cs="宋体"/>
          <w:kern w:val="0"/>
          <w:sz w:val="24"/>
          <w:szCs w:val="24"/>
        </w:rPr>
        <w:t>有效</w:t>
      </w:r>
      <w:r>
        <w:rPr>
          <w:rFonts w:hint="eastAsia" w:ascii="宋体" w:hAnsi="宋体" w:eastAsia="宋体" w:cs="宋体"/>
          <w:kern w:val="0"/>
          <w:sz w:val="24"/>
          <w:szCs w:val="24"/>
          <w:lang w:val="en-US" w:eastAsia="zh-CN"/>
        </w:rPr>
        <w:t>促进限额以上</w:t>
      </w:r>
      <w:r>
        <w:rPr>
          <w:rFonts w:hint="eastAsia" w:ascii="宋体" w:hAnsi="宋体" w:eastAsia="宋体" w:cs="宋体"/>
          <w:kern w:val="0"/>
          <w:sz w:val="24"/>
          <w:szCs w:val="24"/>
        </w:rPr>
        <w:t>“社消零”增长</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组织召开</w:t>
      </w:r>
      <w:r>
        <w:rPr>
          <w:rFonts w:hint="eastAsia" w:ascii="宋体" w:hAnsi="宋体" w:eastAsia="宋体" w:cs="宋体"/>
          <w:kern w:val="0"/>
          <w:sz w:val="24"/>
          <w:szCs w:val="24"/>
        </w:rPr>
        <w:t>奈曼旗2023年培育限额以上经营单位工作联席会议</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分析研判</w:t>
      </w:r>
      <w:r>
        <w:rPr>
          <w:rFonts w:hint="eastAsia" w:ascii="宋体" w:hAnsi="宋体" w:eastAsia="宋体" w:cs="宋体"/>
          <w:kern w:val="0"/>
          <w:sz w:val="24"/>
          <w:szCs w:val="24"/>
          <w:lang w:val="en-US" w:eastAsia="zh-CN"/>
        </w:rPr>
        <w:t>全旗</w:t>
      </w:r>
      <w:r>
        <w:rPr>
          <w:rFonts w:hint="eastAsia" w:ascii="宋体" w:hAnsi="宋体" w:eastAsia="宋体" w:cs="宋体"/>
          <w:kern w:val="0"/>
          <w:sz w:val="24"/>
          <w:szCs w:val="24"/>
        </w:rPr>
        <w:t>社会消费品零售总额情况，</w:t>
      </w:r>
      <w:r>
        <w:rPr>
          <w:rFonts w:hint="eastAsia" w:ascii="宋体" w:hAnsi="宋体" w:eastAsia="宋体" w:cs="宋体"/>
          <w:kern w:val="0"/>
          <w:sz w:val="24"/>
          <w:szCs w:val="24"/>
          <w:lang w:val="en-US" w:eastAsia="zh-CN"/>
        </w:rPr>
        <w:t>进一步</w:t>
      </w:r>
      <w:r>
        <w:rPr>
          <w:rFonts w:hint="eastAsia" w:ascii="宋体" w:hAnsi="宋体" w:eastAsia="宋体" w:cs="宋体"/>
          <w:kern w:val="0"/>
          <w:sz w:val="24"/>
          <w:szCs w:val="24"/>
        </w:rPr>
        <w:t>强化部门协作，形成工作合力</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对全旗</w:t>
      </w:r>
      <w:r>
        <w:rPr>
          <w:rFonts w:hint="eastAsia" w:ascii="宋体" w:hAnsi="宋体" w:eastAsia="宋体" w:cs="宋体"/>
          <w:kern w:val="0"/>
          <w:sz w:val="24"/>
          <w:szCs w:val="24"/>
          <w:lang w:val="en-US" w:eastAsia="zh-CN"/>
        </w:rPr>
        <w:t>18家限额以上企业及大个体</w:t>
      </w:r>
      <w:r>
        <w:rPr>
          <w:rFonts w:hint="eastAsia" w:ascii="宋体" w:hAnsi="宋体" w:eastAsia="宋体" w:cs="宋体"/>
          <w:kern w:val="0"/>
          <w:sz w:val="24"/>
          <w:szCs w:val="24"/>
        </w:rPr>
        <w:t>进行全面调查摸底，主动服务企业</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努力培育新的增长点。</w:t>
      </w:r>
      <w:r>
        <w:rPr>
          <w:rFonts w:hint="eastAsia" w:ascii="宋体" w:hAnsi="宋体" w:eastAsia="宋体" w:cs="宋体"/>
          <w:kern w:val="0"/>
          <w:sz w:val="24"/>
          <w:szCs w:val="24"/>
          <w:lang w:val="en-US" w:eastAsia="zh-CN"/>
        </w:rPr>
        <w:t>1-9月份，全旗限额以上消费品零售额累计完成18607.6万元，同比增长15.3%。二是主城区“</w:t>
      </w:r>
      <w:r>
        <w:rPr>
          <w:rFonts w:hint="eastAsia" w:ascii="宋体" w:hAnsi="宋体" w:eastAsia="宋体" w:cs="宋体"/>
          <w:kern w:val="0"/>
          <w:sz w:val="24"/>
          <w:szCs w:val="24"/>
        </w:rPr>
        <w:t>商圈</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服务功能日臻完善</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结合文明城创建等工作的开展，</w:t>
      </w:r>
      <w:r>
        <w:rPr>
          <w:rFonts w:hint="eastAsia" w:ascii="宋体" w:hAnsi="宋体" w:eastAsia="宋体" w:cs="宋体"/>
          <w:kern w:val="0"/>
          <w:sz w:val="24"/>
          <w:szCs w:val="24"/>
        </w:rPr>
        <w:t>大力推动公共服务、</w:t>
      </w:r>
      <w:r>
        <w:rPr>
          <w:rFonts w:hint="eastAsia" w:ascii="宋体" w:hAnsi="宋体" w:eastAsia="宋体" w:cs="宋体"/>
          <w:kern w:val="0"/>
          <w:sz w:val="24"/>
          <w:szCs w:val="24"/>
          <w:lang w:val="en-US" w:eastAsia="zh-CN"/>
        </w:rPr>
        <w:t>购买</w:t>
      </w:r>
      <w:r>
        <w:rPr>
          <w:rFonts w:hint="eastAsia" w:ascii="宋体" w:hAnsi="宋体" w:eastAsia="宋体" w:cs="宋体"/>
          <w:kern w:val="0"/>
          <w:sz w:val="24"/>
          <w:szCs w:val="24"/>
        </w:rPr>
        <w:t>环境等</w:t>
      </w:r>
      <w:r>
        <w:rPr>
          <w:rFonts w:hint="eastAsia" w:ascii="宋体" w:hAnsi="宋体" w:eastAsia="宋体" w:cs="宋体"/>
          <w:kern w:val="0"/>
          <w:sz w:val="24"/>
          <w:szCs w:val="24"/>
          <w:lang w:val="en-US" w:eastAsia="zh-CN"/>
        </w:rPr>
        <w:t>方面</w:t>
      </w:r>
      <w:r>
        <w:rPr>
          <w:rFonts w:hint="eastAsia" w:ascii="宋体" w:hAnsi="宋体" w:eastAsia="宋体" w:cs="宋体"/>
          <w:kern w:val="0"/>
          <w:sz w:val="24"/>
          <w:szCs w:val="24"/>
        </w:rPr>
        <w:t>提档升级，基本形成了以丽都广场、嘉汇广场、新天地购物</w:t>
      </w:r>
      <w:r>
        <w:rPr>
          <w:rFonts w:hint="eastAsia" w:ascii="宋体" w:hAnsi="宋体" w:eastAsia="宋体" w:cs="宋体"/>
          <w:kern w:val="0"/>
          <w:sz w:val="24"/>
          <w:szCs w:val="24"/>
          <w:lang w:val="en-US" w:eastAsia="zh-CN"/>
        </w:rPr>
        <w:t>广场</w:t>
      </w:r>
      <w:r>
        <w:rPr>
          <w:rFonts w:hint="eastAsia" w:ascii="宋体" w:hAnsi="宋体" w:eastAsia="宋体" w:cs="宋体"/>
          <w:kern w:val="0"/>
          <w:sz w:val="24"/>
          <w:szCs w:val="24"/>
        </w:rPr>
        <w:t>等为中心的商业集聚区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三是</w:t>
      </w:r>
      <w:r>
        <w:rPr>
          <w:rFonts w:hint="eastAsia" w:ascii="宋体" w:hAnsi="宋体" w:eastAsia="宋体" w:cs="宋体"/>
          <w:kern w:val="0"/>
          <w:sz w:val="24"/>
          <w:szCs w:val="24"/>
        </w:rPr>
        <w:t>加强生活必需品市场监测，重点监测粮、肉等市场供求价格变化情况，及时掌握市场动态，确保市场供应不断档、不脱销。</w:t>
      </w:r>
      <w:r>
        <w:rPr>
          <w:rFonts w:hint="eastAsia" w:ascii="宋体" w:hAnsi="宋体" w:eastAsia="宋体" w:cs="宋体"/>
          <w:kern w:val="0"/>
          <w:sz w:val="24"/>
          <w:szCs w:val="24"/>
          <w:lang w:val="en-US" w:eastAsia="zh-CN"/>
        </w:rPr>
        <w:t>四是举办系列促消费活动，助力全旗消费市场持续升温。先后组织开展了“品味汽车文化，乐享动感生活”首届惠民购车节活动、2023年“百万补贴·倾情奉献”家电、家装专项补贴活动、第五届“金沙之城 品味奈曼”美食文化节活动、2023“乐享消费 惠动奈曼”消费促进季系列活动——奈曼旗电商公益直播活动和“乐享今秋 惠聚奈曼”2023年夏季汽车消费节活动以及电子消费券发放等活动，初步形成了“政府搭建平台、商家丰富供给、全民乐享消费”的消费模式，进一步激发了市场活力，促进了消费增长。</w:t>
      </w:r>
    </w:p>
    <w:p>
      <w:pPr>
        <w:widowControl/>
        <w:spacing w:line="560" w:lineRule="exact"/>
        <w:ind w:firstLine="68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二）电子商务工作稳步提升</w:t>
      </w:r>
    </w:p>
    <w:p>
      <w:pPr>
        <w:widowControl/>
        <w:spacing w:line="560" w:lineRule="exact"/>
        <w:ind w:firstLine="68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是积极推动传统生产企业转型发展，依托奈曼旗电商运营中心进一步拓宽销售渠道。截止目前，实现农畜产品线上销售2600万元。二是依托北京地区及832平台丰富的销售资源和便利的物流环境，打开奈曼旗农畜产品销路。截止目前，销售额达2000万元。三是组织开展“奇美奈曼 乐享消费”2023网上年货节活动，</w:t>
      </w:r>
      <w:r>
        <w:rPr>
          <w:rFonts w:hint="eastAsia" w:ascii="宋体" w:hAnsi="宋体" w:eastAsia="宋体" w:cs="宋体"/>
          <w:kern w:val="0"/>
          <w:sz w:val="24"/>
          <w:szCs w:val="24"/>
        </w:rPr>
        <w:t>引导电商企业丰富春节市场供应，</w:t>
      </w:r>
      <w:r>
        <w:rPr>
          <w:rFonts w:hint="eastAsia" w:ascii="宋体" w:hAnsi="宋体" w:eastAsia="宋体" w:cs="宋体"/>
          <w:kern w:val="0"/>
          <w:sz w:val="24"/>
          <w:szCs w:val="24"/>
          <w:lang w:val="en-US" w:eastAsia="zh-CN"/>
        </w:rPr>
        <w:t>活动期间共销售产品4000余单，销售金额达200多万元。四是7月18日，举办了2023“乐享消费 惠动奈曼”消费促进季系列活动——奈曼旗电商公益直播活动，参加公益直播选手15名，线下参展企业12家，活动当天销售额达50余万元。五是启动2023通辽甄选好物“双十一”购物狂欢节，</w:t>
      </w:r>
      <w:r>
        <w:rPr>
          <w:rFonts w:hint="eastAsia" w:ascii="宋体" w:hAnsi="宋体" w:eastAsia="宋体" w:cs="宋体"/>
          <w:kern w:val="0"/>
          <w:sz w:val="24"/>
          <w:szCs w:val="24"/>
        </w:rPr>
        <w:t>截至</w:t>
      </w:r>
      <w:r>
        <w:rPr>
          <w:rFonts w:hint="eastAsia" w:ascii="宋体" w:hAnsi="宋体" w:eastAsia="宋体" w:cs="宋体"/>
          <w:kern w:val="0"/>
          <w:sz w:val="24"/>
          <w:szCs w:val="24"/>
          <w:lang w:val="en-US" w:eastAsia="zh-CN"/>
        </w:rPr>
        <w:t>11月</w:t>
      </w:r>
      <w:r>
        <w:rPr>
          <w:rFonts w:hint="eastAsia" w:ascii="宋体" w:hAnsi="宋体" w:eastAsia="宋体" w:cs="宋体"/>
          <w:kern w:val="0"/>
          <w:sz w:val="24"/>
          <w:szCs w:val="24"/>
        </w:rPr>
        <w:t>11日24</w:t>
      </w:r>
      <w:r>
        <w:rPr>
          <w:rFonts w:hint="eastAsia" w:ascii="宋体" w:hAnsi="宋体" w:eastAsia="宋体" w:cs="宋体"/>
          <w:kern w:val="0"/>
          <w:sz w:val="24"/>
          <w:szCs w:val="24"/>
          <w:lang w:val="en-US" w:eastAsia="zh-CN"/>
        </w:rPr>
        <w:t>时</w:t>
      </w:r>
      <w:r>
        <w:rPr>
          <w:rFonts w:hint="eastAsia" w:ascii="宋体" w:hAnsi="宋体" w:eastAsia="宋体" w:cs="宋体"/>
          <w:kern w:val="0"/>
          <w:sz w:val="24"/>
          <w:szCs w:val="24"/>
        </w:rPr>
        <w:t>，奈曼旗电商企业又交出新的</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双</w:t>
      </w:r>
      <w:r>
        <w:rPr>
          <w:rFonts w:hint="eastAsia" w:ascii="宋体" w:hAnsi="宋体" w:eastAsia="宋体" w:cs="宋体"/>
          <w:kern w:val="0"/>
          <w:sz w:val="24"/>
          <w:szCs w:val="24"/>
          <w:lang w:val="en-US" w:eastAsia="zh-CN"/>
        </w:rPr>
        <w:t>十一”</w:t>
      </w:r>
      <w:r>
        <w:rPr>
          <w:rFonts w:hint="eastAsia" w:ascii="宋体" w:hAnsi="宋体" w:eastAsia="宋体" w:cs="宋体"/>
          <w:kern w:val="0"/>
          <w:sz w:val="24"/>
          <w:szCs w:val="24"/>
        </w:rPr>
        <w:t>成绩单，全渠道销售额达</w:t>
      </w:r>
      <w:r>
        <w:rPr>
          <w:rFonts w:hint="eastAsia" w:ascii="宋体" w:hAnsi="宋体" w:eastAsia="宋体" w:cs="宋体"/>
          <w:kern w:val="0"/>
          <w:sz w:val="24"/>
          <w:szCs w:val="24"/>
          <w:lang w:val="en-US" w:eastAsia="zh-CN"/>
        </w:rPr>
        <w:t>1838</w:t>
      </w:r>
      <w:r>
        <w:rPr>
          <w:rFonts w:hint="eastAsia" w:ascii="宋体" w:hAnsi="宋体" w:eastAsia="宋体" w:cs="宋体"/>
          <w:kern w:val="0"/>
          <w:sz w:val="24"/>
          <w:szCs w:val="24"/>
        </w:rPr>
        <w:t>万元。其中，牛肉干、咸菜干、沙果干、沙米、小米</w:t>
      </w:r>
      <w:r>
        <w:rPr>
          <w:rFonts w:hint="eastAsia" w:ascii="宋体" w:hAnsi="宋体" w:eastAsia="宋体" w:cs="宋体"/>
          <w:kern w:val="0"/>
          <w:sz w:val="24"/>
          <w:szCs w:val="24"/>
          <w:lang w:eastAsia="zh-CN"/>
        </w:rPr>
        <w:t>、奶制品</w:t>
      </w:r>
      <w:r>
        <w:rPr>
          <w:rFonts w:hint="eastAsia" w:ascii="宋体" w:hAnsi="宋体" w:eastAsia="宋体" w:cs="宋体"/>
          <w:kern w:val="0"/>
          <w:sz w:val="24"/>
          <w:szCs w:val="24"/>
        </w:rPr>
        <w:t>是所有品牌店铺中</w:t>
      </w:r>
      <w:r>
        <w:rPr>
          <w:rFonts w:hint="eastAsia" w:ascii="宋体" w:hAnsi="宋体" w:eastAsia="宋体" w:cs="宋体"/>
          <w:kern w:val="0"/>
          <w:sz w:val="24"/>
          <w:szCs w:val="24"/>
          <w:lang w:val="en-US" w:eastAsia="zh-CN"/>
        </w:rPr>
        <w:t>销量</w:t>
      </w:r>
      <w:r>
        <w:rPr>
          <w:rFonts w:hint="eastAsia" w:ascii="宋体" w:hAnsi="宋体" w:eastAsia="宋体" w:cs="宋体"/>
          <w:kern w:val="0"/>
          <w:sz w:val="24"/>
          <w:szCs w:val="24"/>
        </w:rPr>
        <w:t>最多的，牢牢占据线上线下同业态行业</w:t>
      </w:r>
      <w:r>
        <w:rPr>
          <w:rFonts w:hint="eastAsia" w:ascii="宋体" w:hAnsi="宋体" w:eastAsia="宋体" w:cs="宋体"/>
          <w:kern w:val="0"/>
          <w:sz w:val="24"/>
          <w:szCs w:val="24"/>
          <w:lang w:eastAsia="zh-CN"/>
        </w:rPr>
        <w:t>前列。</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对外开放力度持续加大</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rPr>
        <w:t>一是努力促进对外经贸合作。主动融入“一带一路”建设，积极推进“</w:t>
      </w:r>
      <w:r>
        <w:rPr>
          <w:rFonts w:hint="eastAsia" w:ascii="宋体" w:hAnsi="宋体" w:eastAsia="宋体" w:cs="宋体"/>
          <w:kern w:val="0"/>
          <w:sz w:val="24"/>
          <w:szCs w:val="24"/>
          <w:lang w:val="en-US" w:eastAsia="zh-CN"/>
        </w:rPr>
        <w:t>向北开放</w:t>
      </w:r>
      <w:r>
        <w:rPr>
          <w:rFonts w:hint="eastAsia" w:ascii="宋体" w:hAnsi="宋体" w:eastAsia="宋体" w:cs="宋体"/>
          <w:kern w:val="0"/>
          <w:sz w:val="24"/>
          <w:szCs w:val="24"/>
        </w:rPr>
        <w:t>”战略。组织</w:t>
      </w: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参加2023年全区外贸企业培训班，进一步提高企业的外贸知识水平,增强</w:t>
      </w:r>
      <w:r>
        <w:rPr>
          <w:rFonts w:hint="eastAsia" w:ascii="宋体" w:hAnsi="宋体" w:eastAsia="宋体" w:cs="宋体"/>
          <w:kern w:val="0"/>
          <w:sz w:val="24"/>
          <w:szCs w:val="24"/>
          <w:lang w:val="en-US" w:eastAsia="zh-CN"/>
        </w:rPr>
        <w:t>企业</w:t>
      </w:r>
      <w:r>
        <w:rPr>
          <w:rFonts w:hint="eastAsia" w:ascii="宋体" w:hAnsi="宋体" w:eastAsia="宋体" w:cs="宋体"/>
          <w:kern w:val="0"/>
          <w:sz w:val="24"/>
          <w:szCs w:val="24"/>
        </w:rPr>
        <w:t>开拓国际市场的主动意识。</w:t>
      </w:r>
      <w:r>
        <w:rPr>
          <w:rFonts w:hint="eastAsia" w:ascii="宋体" w:hAnsi="宋体" w:eastAsia="宋体" w:cs="宋体"/>
          <w:kern w:val="0"/>
          <w:sz w:val="24"/>
          <w:szCs w:val="24"/>
          <w:lang w:val="en-US" w:eastAsia="zh-CN"/>
        </w:rPr>
        <w:t>二是</w:t>
      </w:r>
      <w:r>
        <w:rPr>
          <w:rFonts w:hint="eastAsia" w:ascii="宋体" w:hAnsi="宋体" w:eastAsia="宋体" w:cs="宋体"/>
          <w:kern w:val="0"/>
          <w:sz w:val="24"/>
          <w:szCs w:val="24"/>
        </w:rPr>
        <w:t>鼓励支持外贸企业发展。落实外资专项资金，</w:t>
      </w:r>
      <w:r>
        <w:rPr>
          <w:rFonts w:hint="eastAsia" w:ascii="宋体" w:hAnsi="宋体" w:eastAsia="宋体" w:cs="宋体"/>
          <w:kern w:val="0"/>
          <w:sz w:val="24"/>
          <w:szCs w:val="24"/>
          <w:lang w:val="en-US" w:eastAsia="zh-CN"/>
        </w:rPr>
        <w:t>帮助</w:t>
      </w:r>
      <w:r>
        <w:rPr>
          <w:rFonts w:hint="eastAsia" w:ascii="宋体" w:hAnsi="宋体" w:eastAsia="宋体" w:cs="宋体"/>
          <w:kern w:val="0"/>
          <w:sz w:val="24"/>
          <w:szCs w:val="24"/>
        </w:rPr>
        <w:t>内蒙古（奈曼）经安有色金属材料有限公司</w:t>
      </w:r>
      <w:r>
        <w:rPr>
          <w:rFonts w:hint="eastAsia" w:ascii="宋体" w:hAnsi="宋体" w:eastAsia="宋体" w:cs="宋体"/>
          <w:kern w:val="0"/>
          <w:sz w:val="24"/>
          <w:szCs w:val="24"/>
          <w:lang w:val="en-US" w:eastAsia="zh-CN"/>
        </w:rPr>
        <w:t>争取外贸</w:t>
      </w:r>
      <w:r>
        <w:rPr>
          <w:rFonts w:hint="eastAsia" w:ascii="宋体" w:hAnsi="宋体" w:eastAsia="宋体" w:cs="宋体"/>
          <w:kern w:val="0"/>
          <w:sz w:val="24"/>
          <w:szCs w:val="24"/>
        </w:rPr>
        <w:t>项目资金280万元，进一步提升外贸企业竞争力。</w:t>
      </w:r>
      <w:r>
        <w:rPr>
          <w:rFonts w:hint="eastAsia" w:ascii="宋体" w:hAnsi="宋体" w:eastAsia="宋体" w:cs="宋体"/>
          <w:kern w:val="0"/>
          <w:sz w:val="24"/>
          <w:szCs w:val="24"/>
          <w:lang w:val="en-US" w:eastAsia="zh-CN"/>
        </w:rPr>
        <w:t>三</w:t>
      </w:r>
      <w:r>
        <w:rPr>
          <w:rFonts w:hint="eastAsia" w:ascii="宋体" w:hAnsi="宋体" w:eastAsia="宋体" w:cs="宋体"/>
          <w:kern w:val="0"/>
          <w:sz w:val="24"/>
          <w:szCs w:val="24"/>
        </w:rPr>
        <w:t>是外经贸营商环境进一步优化。完善</w:t>
      </w:r>
      <w:r>
        <w:rPr>
          <w:rFonts w:hint="eastAsia" w:ascii="宋体" w:hAnsi="宋体" w:eastAsia="宋体" w:cs="宋体"/>
          <w:kern w:val="0"/>
          <w:sz w:val="24"/>
          <w:szCs w:val="24"/>
          <w:lang w:val="en-US" w:eastAsia="zh-CN"/>
        </w:rPr>
        <w:t>工作</w:t>
      </w:r>
      <w:r>
        <w:rPr>
          <w:rFonts w:hint="eastAsia" w:ascii="宋体" w:hAnsi="宋体" w:eastAsia="宋体" w:cs="宋体"/>
          <w:kern w:val="0"/>
          <w:sz w:val="24"/>
          <w:szCs w:val="24"/>
        </w:rPr>
        <w:t>联席机制，制定</w:t>
      </w:r>
      <w:r>
        <w:rPr>
          <w:rFonts w:hint="eastAsia" w:ascii="宋体" w:hAnsi="宋体" w:eastAsia="宋体" w:cs="宋体"/>
          <w:kern w:val="0"/>
          <w:sz w:val="24"/>
          <w:szCs w:val="24"/>
          <w:lang w:val="en-US" w:eastAsia="zh-CN"/>
        </w:rPr>
        <w:t>了</w:t>
      </w:r>
      <w:r>
        <w:rPr>
          <w:rFonts w:hint="eastAsia" w:ascii="宋体" w:hAnsi="宋体" w:eastAsia="宋体" w:cs="宋体"/>
          <w:kern w:val="0"/>
          <w:sz w:val="24"/>
          <w:szCs w:val="24"/>
        </w:rPr>
        <w:t>《重点外贸企业包保服务工作方案》，建立</w:t>
      </w:r>
      <w:r>
        <w:rPr>
          <w:rFonts w:hint="eastAsia" w:ascii="宋体" w:hAnsi="宋体" w:eastAsia="宋体" w:cs="宋体"/>
          <w:kern w:val="0"/>
          <w:sz w:val="24"/>
          <w:szCs w:val="24"/>
          <w:lang w:val="en-US" w:eastAsia="zh-CN"/>
        </w:rPr>
        <w:t>了</w:t>
      </w:r>
      <w:r>
        <w:rPr>
          <w:rFonts w:hint="eastAsia" w:ascii="宋体" w:hAnsi="宋体" w:eastAsia="宋体" w:cs="宋体"/>
          <w:kern w:val="0"/>
          <w:sz w:val="24"/>
          <w:szCs w:val="24"/>
        </w:rPr>
        <w:t>“一对一”台账</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及时掌握</w:t>
      </w:r>
      <w:r>
        <w:rPr>
          <w:rFonts w:hint="eastAsia" w:ascii="宋体" w:hAnsi="宋体" w:eastAsia="宋体" w:cs="宋体"/>
          <w:kern w:val="0"/>
          <w:sz w:val="24"/>
          <w:szCs w:val="24"/>
          <w:lang w:val="en-US" w:eastAsia="zh-CN"/>
        </w:rPr>
        <w:t>全</w:t>
      </w:r>
      <w:r>
        <w:rPr>
          <w:rFonts w:hint="eastAsia" w:ascii="宋体" w:hAnsi="宋体" w:eastAsia="宋体" w:cs="宋体"/>
          <w:kern w:val="0"/>
          <w:sz w:val="24"/>
          <w:szCs w:val="24"/>
        </w:rPr>
        <w:t>旗重点外贸企业生产经营状况，解决企业在外贸进出口过程中遇到的困难。</w:t>
      </w:r>
    </w:p>
    <w:p>
      <w:pPr>
        <w:widowControl/>
        <w:spacing w:line="560" w:lineRule="exact"/>
        <w:ind w:firstLine="68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（四）金融工作不断提升</w:t>
      </w:r>
    </w:p>
    <w:p>
      <w:pPr>
        <w:widowControl/>
        <w:spacing w:line="560" w:lineRule="exact"/>
        <w:ind w:firstLine="6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一是创新举措，全力打通银企对接“最后一公里”。广泛宣传金融产品政策，汇编制成小程序，通过公众号、微信群、活力奈曼等形式进行多渠道线上推广宣传；将融资信息以金融专报等方式及时向银行机构推送，打通融资服务“最后一公里”。目前，已收集中小微企业融资需求信息52家企业，需求资金18.8亿元，规上企业融资需求信息8家企业，需求资金34.45亿元。收集银行业机构信贷产品67款，保险机构涉农特色保险产品16款，实现银行、保险与企业的双向对接。二是建章立制，培育小微企业“首贷户”成效显著。年初以来，我局多次组织召开全旗金融服务工作座谈会和金融领域优化营商环境调度会暨培育“首贷户”推进会,引导各银行业金融机构加大首贷户培育力度。目前，我旗8家银行机构均在网点设立首贷户窗口；农业银行在政务服务大厅设立金融咨询服务台（提供首贷咨询业务）。同时，联合人民银行奈曼旗支行制定出台了《关于建立奈曼旗小微企业“首贷户”监测机制的通知》，及时调度各银行机构“首贷户”培育的积极性。截止9月末，小微企业“首贷户”贷款申请户数132户，累计成功发放“首贷户”贷款96户、金额2.7亿元，获贷率达72.7%。三是多措并举，精准打通企业融资多元渠道。为全力破解银企对接信息壁垒，印发了《奈曼旗政银企对接实施方案》，局长率队各家银行机构开展走村入企、金融大讲堂等活动，促进了项目资金有效融合。截止目前，开展走村入企活动22次、银企对接会3次，银行、保险机构自行进企加强金融辅导389次，累计发放贷款181笔、81105万元，惠及企业220多家。截至9月末，旗内银行业金融机构累计发放各项贷款88.21亿元,</w:t>
      </w:r>
      <w:r>
        <w:rPr>
          <w:rFonts w:hint="eastAsia" w:ascii="宋体" w:hAnsi="宋体" w:eastAsia="宋体" w:cs="宋体"/>
          <w:kern w:val="0"/>
          <w:sz w:val="24"/>
          <w:szCs w:val="24"/>
          <w:lang w:eastAsia="zh-CN"/>
        </w:rPr>
        <w:t>同比增加</w:t>
      </w:r>
      <w:r>
        <w:rPr>
          <w:rFonts w:hint="eastAsia" w:ascii="宋体" w:hAnsi="宋体" w:eastAsia="宋体" w:cs="宋体"/>
          <w:kern w:val="0"/>
          <w:sz w:val="24"/>
          <w:szCs w:val="24"/>
          <w:lang w:val="en-US" w:eastAsia="zh-CN"/>
        </w:rPr>
        <w:t>33.3亿</w:t>
      </w:r>
      <w:r>
        <w:rPr>
          <w:rFonts w:hint="eastAsia" w:ascii="宋体" w:hAnsi="宋体" w:eastAsia="宋体" w:cs="宋体"/>
          <w:kern w:val="0"/>
          <w:sz w:val="24"/>
          <w:szCs w:val="24"/>
        </w:rPr>
        <w:t>元，</w:t>
      </w:r>
      <w:r>
        <w:rPr>
          <w:rFonts w:hint="eastAsia" w:ascii="宋体" w:hAnsi="宋体" w:eastAsia="宋体" w:cs="宋体"/>
          <w:kern w:val="0"/>
          <w:sz w:val="24"/>
          <w:szCs w:val="24"/>
          <w:lang w:eastAsia="zh-CN"/>
        </w:rPr>
        <w:t>增长</w:t>
      </w:r>
      <w:r>
        <w:rPr>
          <w:rFonts w:hint="eastAsia" w:ascii="宋体" w:hAnsi="宋体" w:eastAsia="宋体" w:cs="宋体"/>
          <w:kern w:val="0"/>
          <w:sz w:val="24"/>
          <w:szCs w:val="24"/>
          <w:lang w:val="en-US" w:eastAsia="zh-CN"/>
        </w:rPr>
        <w:t>60.69</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其中，发放</w:t>
      </w:r>
      <w:r>
        <w:rPr>
          <w:rFonts w:hint="eastAsia" w:ascii="宋体" w:hAnsi="宋体" w:eastAsia="宋体" w:cs="宋体"/>
          <w:kern w:val="0"/>
          <w:sz w:val="24"/>
          <w:szCs w:val="24"/>
          <w:lang w:val="en-US" w:eastAsia="zh-CN"/>
        </w:rPr>
        <w:t>中小企业贷款22.36亿元，同比增加4.42亿元，增长23.43%，占各项贷款的25.35%。四是加强</w:t>
      </w:r>
      <w:r>
        <w:rPr>
          <w:rFonts w:hint="eastAsia" w:ascii="宋体" w:hAnsi="宋体" w:eastAsia="宋体" w:cs="宋体"/>
          <w:kern w:val="0"/>
          <w:sz w:val="24"/>
          <w:szCs w:val="24"/>
        </w:rPr>
        <w:t>宣传,</w:t>
      </w:r>
      <w:r>
        <w:rPr>
          <w:rFonts w:hint="eastAsia" w:ascii="宋体" w:hAnsi="宋体" w:eastAsia="宋体" w:cs="宋体"/>
          <w:kern w:val="0"/>
          <w:sz w:val="24"/>
          <w:szCs w:val="24"/>
          <w:lang w:val="en-US" w:eastAsia="zh-CN"/>
        </w:rPr>
        <w:t>扩大各类金融平台授信规模。我局联合旗人民银行、发改委、税务、各银行机构等相关部门，积极开展“信易贷”平台、“银税互动”、“应收账款”等平台宣传活动，提升平台使用率，提高融资服务。截至9月末，我旗“信易贷”平台已上架金融产品7款，累计授信15笔，金额25913万元；旗内已连接“银税互动”平台的4家银行机构通过平台发放贷款1.31亿元，95笔；中征应收账款融资服务平台注册用户达到13户。五是</w:t>
      </w:r>
      <w:r>
        <w:rPr>
          <w:rFonts w:hint="eastAsia" w:ascii="宋体" w:hAnsi="宋体" w:eastAsia="宋体" w:cs="宋体"/>
          <w:kern w:val="0"/>
          <w:sz w:val="24"/>
          <w:szCs w:val="24"/>
        </w:rPr>
        <w:t>筑牢防线，防范化解金融风险净化金融环境</w:t>
      </w:r>
      <w:r>
        <w:rPr>
          <w:rFonts w:hint="eastAsia" w:ascii="宋体" w:hAnsi="宋体" w:eastAsia="宋体" w:cs="宋体"/>
          <w:kern w:val="0"/>
          <w:sz w:val="24"/>
          <w:szCs w:val="24"/>
          <w:lang w:eastAsia="zh-CN"/>
        </w:rPr>
        <w:t>。先后制定出台了《奈曼旗金融工作议事协调机制》、《奈曼旗</w:t>
      </w:r>
      <w:r>
        <w:rPr>
          <w:rFonts w:hint="eastAsia" w:ascii="宋体" w:hAnsi="宋体" w:eastAsia="宋体" w:cs="宋体"/>
          <w:kern w:val="0"/>
          <w:sz w:val="24"/>
          <w:szCs w:val="24"/>
          <w:lang w:val="en-US" w:eastAsia="zh-CN"/>
        </w:rPr>
        <w:t>2023-2026年防范化解金融风险三年行动计划》、</w:t>
      </w:r>
      <w:r>
        <w:rPr>
          <w:rFonts w:hint="eastAsia" w:ascii="宋体" w:hAnsi="宋体" w:eastAsia="宋体" w:cs="宋体"/>
          <w:kern w:val="0"/>
          <w:sz w:val="24"/>
          <w:szCs w:val="24"/>
          <w:lang w:eastAsia="zh-CN"/>
        </w:rPr>
        <w:t>《奈曼旗融资担保公司重大风险事件预警、防范和处置机制》等机制。同时，</w:t>
      </w:r>
      <w:r>
        <w:rPr>
          <w:rFonts w:hint="eastAsia" w:ascii="宋体" w:hAnsi="宋体" w:eastAsia="宋体" w:cs="宋体"/>
          <w:kern w:val="0"/>
          <w:sz w:val="24"/>
          <w:szCs w:val="24"/>
          <w:lang w:val="en-US" w:eastAsia="zh-CN"/>
        </w:rPr>
        <w:t>加强金融风险排查工作力度，共排查、检查各类风险企业7家</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其中小贷、担保公司</w:t>
      </w:r>
      <w:r>
        <w:rPr>
          <w:rFonts w:hint="eastAsia" w:ascii="宋体" w:hAnsi="宋体" w:eastAsia="宋体" w:cs="宋体"/>
          <w:kern w:val="0"/>
          <w:sz w:val="24"/>
          <w:szCs w:val="24"/>
          <w:lang w:val="en-US" w:eastAsia="zh-CN"/>
        </w:rPr>
        <w:t>2家，共</w:t>
      </w:r>
      <w:r>
        <w:rPr>
          <w:rFonts w:hint="eastAsia" w:ascii="宋体" w:hAnsi="宋体" w:eastAsia="宋体" w:cs="宋体"/>
          <w:kern w:val="0"/>
          <w:sz w:val="24"/>
          <w:szCs w:val="24"/>
          <w:lang w:eastAsia="zh-CN"/>
        </w:rPr>
        <w:t>化解风险企业</w:t>
      </w:r>
      <w:r>
        <w:rPr>
          <w:rFonts w:hint="eastAsia" w:ascii="宋体" w:hAnsi="宋体" w:eastAsia="宋体" w:cs="宋体"/>
          <w:kern w:val="0"/>
          <w:sz w:val="24"/>
          <w:szCs w:val="24"/>
          <w:lang w:val="en-US" w:eastAsia="zh-CN"/>
        </w:rPr>
        <w:t>1家；开展防范非法集资宣传教育活动8场次，</w:t>
      </w:r>
      <w:r>
        <w:rPr>
          <w:rFonts w:hint="eastAsia" w:ascii="宋体" w:hAnsi="宋体" w:eastAsia="宋体" w:cs="宋体"/>
          <w:kern w:val="0"/>
          <w:sz w:val="24"/>
          <w:szCs w:val="24"/>
          <w:lang w:eastAsia="zh-CN"/>
        </w:rPr>
        <w:t>制作宣传教育小视频</w:t>
      </w:r>
      <w:r>
        <w:rPr>
          <w:rFonts w:hint="eastAsia" w:ascii="宋体" w:hAnsi="宋体" w:eastAsia="宋体" w:cs="宋体"/>
          <w:kern w:val="0"/>
          <w:sz w:val="24"/>
          <w:szCs w:val="24"/>
          <w:lang w:val="en-US" w:eastAsia="zh-CN"/>
        </w:rPr>
        <w:t>1个，</w:t>
      </w:r>
      <w:r>
        <w:rPr>
          <w:rFonts w:hint="eastAsia" w:ascii="宋体" w:hAnsi="宋体" w:eastAsia="宋体" w:cs="宋体"/>
          <w:kern w:val="0"/>
          <w:sz w:val="24"/>
          <w:szCs w:val="24"/>
          <w:lang w:eastAsia="zh-CN"/>
        </w:rPr>
        <w:t>发放宣传资料</w:t>
      </w:r>
      <w:r>
        <w:rPr>
          <w:rFonts w:hint="eastAsia" w:ascii="宋体" w:hAnsi="宋体" w:eastAsia="宋体" w:cs="宋体"/>
          <w:kern w:val="0"/>
          <w:sz w:val="24"/>
          <w:szCs w:val="24"/>
          <w:lang w:val="en-US" w:eastAsia="zh-CN"/>
        </w:rPr>
        <w:t>3000</w:t>
      </w:r>
      <w:r>
        <w:rPr>
          <w:rFonts w:hint="eastAsia" w:ascii="宋体" w:hAnsi="宋体" w:eastAsia="宋体" w:cs="宋体"/>
          <w:kern w:val="0"/>
          <w:sz w:val="24"/>
          <w:szCs w:val="24"/>
          <w:lang w:eastAsia="zh-CN"/>
        </w:rPr>
        <w:t>余份，纪念品</w:t>
      </w:r>
      <w:r>
        <w:rPr>
          <w:rFonts w:hint="eastAsia" w:ascii="宋体" w:hAnsi="宋体" w:eastAsia="宋体" w:cs="宋体"/>
          <w:kern w:val="0"/>
          <w:sz w:val="24"/>
          <w:szCs w:val="24"/>
          <w:lang w:val="en-US" w:eastAsia="zh-CN"/>
        </w:rPr>
        <w:t>1000余份</w:t>
      </w:r>
      <w:r>
        <w:rPr>
          <w:rFonts w:hint="eastAsia" w:ascii="宋体" w:hAnsi="宋体" w:eastAsia="宋体" w:cs="宋体"/>
          <w:kern w:val="0"/>
          <w:sz w:val="24"/>
          <w:szCs w:val="24"/>
          <w:lang w:eastAsia="zh-CN"/>
        </w:rPr>
        <w:t>，制作宣传条幅</w:t>
      </w: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lang w:eastAsia="zh-CN"/>
        </w:rPr>
        <w:t>余条，受益群众</w:t>
      </w:r>
      <w:r>
        <w:rPr>
          <w:rFonts w:hint="eastAsia" w:ascii="宋体" w:hAnsi="宋体" w:eastAsia="宋体" w:cs="宋体"/>
          <w:kern w:val="0"/>
          <w:sz w:val="24"/>
          <w:szCs w:val="24"/>
          <w:lang w:val="en-US" w:eastAsia="zh-CN"/>
        </w:rPr>
        <w:t>5000</w:t>
      </w:r>
      <w:r>
        <w:rPr>
          <w:rFonts w:hint="eastAsia" w:ascii="宋体" w:hAnsi="宋体" w:eastAsia="宋体" w:cs="宋体"/>
          <w:kern w:val="0"/>
          <w:sz w:val="24"/>
          <w:szCs w:val="24"/>
          <w:lang w:eastAsia="zh-CN"/>
        </w:rPr>
        <w:t>余人次，化解非法集资陈案</w:t>
      </w:r>
      <w:r>
        <w:rPr>
          <w:rFonts w:hint="eastAsia" w:ascii="宋体" w:hAnsi="宋体" w:eastAsia="宋体" w:cs="宋体"/>
          <w:kern w:val="0"/>
          <w:sz w:val="24"/>
          <w:szCs w:val="24"/>
          <w:lang w:val="en-US" w:eastAsia="zh-CN"/>
        </w:rPr>
        <w:t>1例。</w:t>
      </w:r>
      <w:r>
        <w:rPr>
          <w:rFonts w:hint="eastAsia" w:ascii="宋体" w:hAnsi="宋体" w:eastAsia="宋体" w:cs="宋体"/>
          <w:kern w:val="0"/>
          <w:sz w:val="24"/>
          <w:szCs w:val="24"/>
          <w:lang w:eastAsia="zh-CN"/>
        </w:rPr>
        <w:t>全</w:t>
      </w:r>
      <w:r>
        <w:rPr>
          <w:rFonts w:hint="eastAsia" w:ascii="宋体" w:hAnsi="宋体" w:eastAsia="宋体" w:cs="宋体"/>
          <w:kern w:val="0"/>
          <w:sz w:val="24"/>
          <w:szCs w:val="24"/>
          <w:lang w:val="en-US" w:eastAsia="zh-CN"/>
        </w:rPr>
        <w:t>年</w:t>
      </w:r>
      <w:r>
        <w:rPr>
          <w:rFonts w:hint="eastAsia" w:ascii="宋体" w:hAnsi="宋体" w:eastAsia="宋体" w:cs="宋体"/>
          <w:kern w:val="0"/>
          <w:sz w:val="24"/>
          <w:szCs w:val="24"/>
          <w:lang w:eastAsia="zh-CN"/>
        </w:rPr>
        <w:t>化解</w:t>
      </w:r>
      <w:r>
        <w:rPr>
          <w:rFonts w:hint="eastAsia" w:ascii="宋体" w:hAnsi="宋体" w:eastAsia="宋体" w:cs="宋体"/>
          <w:kern w:val="0"/>
          <w:sz w:val="24"/>
          <w:szCs w:val="24"/>
        </w:rPr>
        <w:t>不良贷款</w:t>
      </w:r>
      <w:r>
        <w:rPr>
          <w:rFonts w:hint="eastAsia" w:ascii="宋体" w:hAnsi="宋体" w:eastAsia="宋体" w:cs="宋体"/>
          <w:kern w:val="0"/>
          <w:sz w:val="24"/>
          <w:szCs w:val="24"/>
          <w:lang w:val="en-US" w:eastAsia="zh-CN"/>
        </w:rPr>
        <w:t>2995.86万元，</w:t>
      </w:r>
      <w:r>
        <w:rPr>
          <w:rFonts w:hint="eastAsia" w:ascii="宋体" w:hAnsi="宋体" w:eastAsia="宋体" w:cs="宋体"/>
          <w:kern w:val="0"/>
          <w:sz w:val="24"/>
          <w:szCs w:val="24"/>
        </w:rPr>
        <w:t>不良率低于全市平均水平</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六是</w:t>
      </w:r>
      <w:r>
        <w:rPr>
          <w:rFonts w:hint="eastAsia" w:ascii="宋体" w:hAnsi="宋体" w:eastAsia="宋体" w:cs="宋体"/>
          <w:kern w:val="0"/>
          <w:sz w:val="24"/>
          <w:szCs w:val="24"/>
          <w:lang w:eastAsia="zh-CN"/>
        </w:rPr>
        <w:t>狠抓落实，扎实开展优化营商环境工作。通过召开调度会、现场走访调研等方式调动各金融机构积极性，</w:t>
      </w:r>
      <w:r>
        <w:rPr>
          <w:rFonts w:hint="eastAsia" w:ascii="宋体" w:hAnsi="宋体" w:eastAsia="宋体" w:cs="宋体"/>
          <w:kern w:val="0"/>
          <w:sz w:val="24"/>
          <w:szCs w:val="24"/>
        </w:rPr>
        <w:t>逐一落实</w:t>
      </w:r>
      <w:r>
        <w:rPr>
          <w:rFonts w:hint="eastAsia" w:ascii="宋体" w:hAnsi="宋体" w:eastAsia="宋体" w:cs="宋体"/>
          <w:kern w:val="0"/>
          <w:sz w:val="24"/>
          <w:szCs w:val="24"/>
          <w:lang w:val="en-US" w:eastAsia="zh-CN"/>
        </w:rPr>
        <w:t>优化营商环境</w:t>
      </w:r>
      <w:r>
        <w:rPr>
          <w:rFonts w:hint="eastAsia" w:ascii="宋体" w:hAnsi="宋体" w:eastAsia="宋体" w:cs="宋体"/>
          <w:kern w:val="0"/>
          <w:sz w:val="24"/>
          <w:szCs w:val="24"/>
          <w:lang w:eastAsia="zh-CN"/>
        </w:rPr>
        <w:t>各项任务目标，提升金融服务能力，</w:t>
      </w:r>
      <w:r>
        <w:rPr>
          <w:rFonts w:hint="eastAsia" w:ascii="宋体" w:hAnsi="宋体" w:eastAsia="宋体" w:cs="宋体"/>
          <w:kern w:val="0"/>
          <w:sz w:val="24"/>
          <w:szCs w:val="24"/>
        </w:rPr>
        <w:t>多措并举优化金融信贷营商环境，</w:t>
      </w:r>
      <w:r>
        <w:rPr>
          <w:rFonts w:hint="eastAsia" w:ascii="宋体" w:hAnsi="宋体" w:eastAsia="宋体" w:cs="宋体"/>
          <w:kern w:val="0"/>
          <w:sz w:val="24"/>
          <w:szCs w:val="24"/>
          <w:lang w:eastAsia="zh-CN"/>
        </w:rPr>
        <w:t>超前完成各项目标任务。我局牵头的目标任务共9项，目前已全部完成，亮点工作报送</w:t>
      </w:r>
      <w:r>
        <w:rPr>
          <w:rFonts w:hint="eastAsia" w:ascii="宋体" w:hAnsi="宋体" w:eastAsia="宋体" w:cs="宋体"/>
          <w:kern w:val="0"/>
          <w:sz w:val="24"/>
          <w:szCs w:val="24"/>
          <w:lang w:val="en-US" w:eastAsia="zh-CN"/>
        </w:rPr>
        <w:t>3条，被市级采用1条。</w:t>
      </w:r>
    </w:p>
    <w:p>
      <w:pPr>
        <w:widowControl/>
        <w:spacing w:line="560" w:lineRule="exact"/>
        <w:ind w:firstLine="68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（五）安全生产工作稳中向好</w:t>
      </w:r>
    </w:p>
    <w:p>
      <w:pPr>
        <w:widowControl/>
        <w:spacing w:line="560" w:lineRule="exact"/>
        <w:ind w:firstLine="68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一是强化成品油流通行业安全生产管理。全旗54家成品油企业开展安全生产督查65次，发现安全隐患5个，目前均按期整改到位，落实闭环管理。二是扎实开展全旗餐饮场所燃气使用安全隐患排查整治行动。先后制定了《商贸领域燃气安全排查整治工作方案》、《奈曼旗区域经济合作与金融服务局商贸领域餐饮经营主体燃气安全整治专项实施方案》，会同住建、燃气公司、市场监管局等部门对全旗餐饮燃气使用场进行摸排督查。截至目前，成立检查组1个、联合检查组5个，检查餐饮企业1040家、农贸市场1家、大型商超8家，已检查次数1199次，排查率为73.16%，发现问题隐患396处，整改396处，整改率100%，宣传报道2次。当前，专项排查整治行动仍在持续开展中。三是开展商务领域安全生产风险隐患专项排查整治2023行动。组织召开专项行动动员部署会2次，制定《奈曼旗区域经济合作与金融服务局商务领域安全生产风险隐患专项排查整治2023行动工作方案》，组织专题学习3次，开展专项行动检查18次，共存在安全隐患4条，现已全部整改完毕，整改率达100％。督促商贸企业</w:t>
      </w:r>
      <w:r>
        <w:rPr>
          <w:rFonts w:hint="eastAsia" w:ascii="宋体" w:hAnsi="宋体" w:eastAsia="宋体" w:cs="宋体"/>
          <w:kern w:val="0"/>
          <w:sz w:val="24"/>
          <w:szCs w:val="24"/>
        </w:rPr>
        <w:t>开展各类应急演练</w:t>
      </w:r>
      <w:r>
        <w:rPr>
          <w:rFonts w:hint="eastAsia" w:ascii="宋体" w:hAnsi="宋体" w:eastAsia="宋体" w:cs="宋体"/>
          <w:kern w:val="0"/>
          <w:sz w:val="24"/>
          <w:szCs w:val="24"/>
          <w:lang w:val="en-US" w:eastAsia="zh-CN"/>
        </w:rPr>
        <w:t>28</w:t>
      </w:r>
      <w:r>
        <w:rPr>
          <w:rFonts w:hint="eastAsia" w:ascii="宋体" w:hAnsi="宋体" w:eastAsia="宋体" w:cs="宋体"/>
          <w:kern w:val="0"/>
          <w:sz w:val="24"/>
          <w:szCs w:val="24"/>
        </w:rPr>
        <w:t>次，参演人员</w:t>
      </w:r>
      <w:r>
        <w:rPr>
          <w:rFonts w:hint="eastAsia" w:ascii="宋体" w:hAnsi="宋体" w:eastAsia="宋体" w:cs="宋体"/>
          <w:kern w:val="0"/>
          <w:sz w:val="24"/>
          <w:szCs w:val="24"/>
          <w:lang w:val="en-US" w:eastAsia="zh-CN"/>
        </w:rPr>
        <w:t>262</w:t>
      </w:r>
      <w:r>
        <w:rPr>
          <w:rFonts w:hint="eastAsia" w:ascii="宋体" w:hAnsi="宋体" w:eastAsia="宋体" w:cs="宋体"/>
          <w:kern w:val="0"/>
          <w:sz w:val="24"/>
          <w:szCs w:val="24"/>
        </w:rPr>
        <w:t>人，有效提升应急处置和应急自救能力。</w:t>
      </w:r>
      <w:r>
        <w:rPr>
          <w:rFonts w:hint="eastAsia" w:ascii="宋体" w:hAnsi="宋体" w:eastAsia="宋体" w:cs="宋体"/>
          <w:kern w:val="0"/>
          <w:sz w:val="24"/>
          <w:szCs w:val="24"/>
          <w:lang w:val="en-US" w:eastAsia="zh-CN"/>
        </w:rPr>
        <w:t>四是以安全生产月为契机，强化宣传工作。深入企业开展安全生产宣讲活动8次，在人员密集场所悬挂横幅1条、张贴标语和宣传海报共计25张；通过奈曼美食节活动在人流量较多的体育广场播放“安全生产月”宣传视频；通过“6.16集中宣传日”，发放安全生产月小册子、习近平总书记关于安全生产生产重要论述小册子等宣传品560余份；组织商贸领域企业签订“安全生产承诺书”60余份；组织全体职工、商贸领域各企业参加安全生产月”网络答题活动，活动中累计参与127人，答题127人次。五是</w:t>
      </w:r>
      <w:r>
        <w:rPr>
          <w:rFonts w:hint="eastAsia" w:ascii="宋体" w:hAnsi="宋体" w:eastAsia="宋体" w:cs="宋体"/>
          <w:kern w:val="0"/>
          <w:sz w:val="24"/>
          <w:szCs w:val="24"/>
          <w:lang w:eastAsia="zh-CN"/>
        </w:rPr>
        <w:t>率先</w:t>
      </w:r>
      <w:r>
        <w:rPr>
          <w:rFonts w:hint="eastAsia" w:ascii="宋体" w:hAnsi="宋体" w:eastAsia="宋体" w:cs="宋体"/>
          <w:kern w:val="0"/>
          <w:sz w:val="24"/>
          <w:szCs w:val="24"/>
          <w:lang w:val="en-US" w:eastAsia="zh-CN"/>
        </w:rPr>
        <w:t>在</w:t>
      </w:r>
      <w:r>
        <w:rPr>
          <w:rFonts w:hint="eastAsia" w:ascii="宋体" w:hAnsi="宋体" w:eastAsia="宋体" w:cs="宋体"/>
          <w:kern w:val="0"/>
          <w:sz w:val="24"/>
          <w:szCs w:val="24"/>
          <w:lang w:eastAsia="zh-CN"/>
        </w:rPr>
        <w:t>旗内引入第三方</w:t>
      </w:r>
      <w:r>
        <w:rPr>
          <w:rFonts w:hint="eastAsia" w:ascii="宋体" w:hAnsi="宋体" w:eastAsia="宋体" w:cs="宋体"/>
          <w:kern w:val="0"/>
          <w:sz w:val="24"/>
          <w:szCs w:val="24"/>
          <w:lang w:val="en-US" w:eastAsia="zh-CN"/>
        </w:rPr>
        <w:t>专业机构</w:t>
      </w:r>
      <w:r>
        <w:rPr>
          <w:rFonts w:hint="eastAsia" w:ascii="宋体" w:hAnsi="宋体" w:eastAsia="宋体" w:cs="宋体"/>
          <w:kern w:val="0"/>
          <w:sz w:val="24"/>
          <w:szCs w:val="24"/>
          <w:lang w:eastAsia="zh-CN"/>
        </w:rPr>
        <w:t>开展检查工作。通过</w:t>
      </w:r>
      <w:r>
        <w:rPr>
          <w:rFonts w:hint="eastAsia" w:ascii="宋体" w:hAnsi="宋体" w:eastAsia="宋体" w:cs="宋体"/>
          <w:kern w:val="0"/>
          <w:sz w:val="24"/>
          <w:szCs w:val="24"/>
        </w:rPr>
        <w:t>聘请</w:t>
      </w:r>
      <w:r>
        <w:rPr>
          <w:rFonts w:hint="eastAsia" w:ascii="宋体" w:hAnsi="宋体" w:eastAsia="宋体" w:cs="宋体"/>
          <w:kern w:val="0"/>
          <w:sz w:val="24"/>
          <w:szCs w:val="24"/>
          <w:lang w:eastAsia="zh-CN"/>
        </w:rPr>
        <w:t>内蒙古中评安全技术咨询服务有限公司作为“</w:t>
      </w:r>
      <w:r>
        <w:rPr>
          <w:rFonts w:hint="eastAsia" w:ascii="宋体" w:hAnsi="宋体" w:eastAsia="宋体" w:cs="宋体"/>
          <w:kern w:val="0"/>
          <w:sz w:val="24"/>
          <w:szCs w:val="24"/>
        </w:rPr>
        <w:t>第三方”</w:t>
      </w:r>
      <w:r>
        <w:rPr>
          <w:rFonts w:hint="eastAsia" w:ascii="宋体" w:hAnsi="宋体" w:eastAsia="宋体" w:cs="宋体"/>
          <w:kern w:val="0"/>
          <w:sz w:val="24"/>
          <w:szCs w:val="24"/>
          <w:lang w:eastAsia="zh-CN"/>
        </w:rPr>
        <w:t>的形式，对旗内</w:t>
      </w:r>
      <w:r>
        <w:rPr>
          <w:rFonts w:hint="eastAsia" w:ascii="宋体" w:hAnsi="宋体" w:eastAsia="宋体" w:cs="宋体"/>
          <w:kern w:val="0"/>
          <w:sz w:val="24"/>
          <w:szCs w:val="24"/>
        </w:rPr>
        <w:t>大型商</w:t>
      </w:r>
      <w:r>
        <w:rPr>
          <w:rFonts w:hint="eastAsia" w:ascii="宋体" w:hAnsi="宋体" w:eastAsia="宋体" w:cs="宋体"/>
          <w:kern w:val="0"/>
          <w:sz w:val="24"/>
          <w:szCs w:val="24"/>
          <w:lang w:eastAsia="zh-CN"/>
        </w:rPr>
        <w:t>超、酒店宾馆、加油站等重点商贸企业开展“诊断式”安全生产专项检查。</w:t>
      </w:r>
      <w:r>
        <w:rPr>
          <w:rFonts w:hint="eastAsia" w:ascii="宋体" w:hAnsi="宋体" w:eastAsia="宋体" w:cs="宋体"/>
          <w:kern w:val="0"/>
          <w:sz w:val="24"/>
          <w:szCs w:val="24"/>
          <w:lang w:val="en-US" w:eastAsia="zh-CN"/>
        </w:rPr>
        <w:t>并邀请第三方专家对本部门业务人员进行培训，</w:t>
      </w:r>
      <w:r>
        <w:rPr>
          <w:rFonts w:hint="eastAsia" w:ascii="宋体" w:hAnsi="宋体" w:eastAsia="宋体" w:cs="宋体"/>
          <w:kern w:val="0"/>
          <w:sz w:val="24"/>
          <w:szCs w:val="24"/>
          <w:lang w:eastAsia="zh-CN"/>
        </w:rPr>
        <w:t>形成了“专家查隐患、部门促整改、企业抓落实”的安全隐患排查治理机制，有效提升了安全管理水平，</w:t>
      </w:r>
      <w:r>
        <w:rPr>
          <w:rFonts w:hint="eastAsia" w:ascii="宋体" w:hAnsi="宋体" w:eastAsia="宋体" w:cs="宋体"/>
          <w:kern w:val="0"/>
          <w:sz w:val="24"/>
          <w:szCs w:val="24"/>
          <w:lang w:val="en-US" w:eastAsia="zh-CN"/>
        </w:rPr>
        <w:t>为进一步优化商贸领域营商环境奠定了坚实基础。</w:t>
      </w:r>
    </w:p>
    <w:p>
      <w:pPr>
        <w:pStyle w:val="4"/>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b/>
          <w:bCs/>
          <w:color w:val="auto"/>
          <w:kern w:val="0"/>
          <w:sz w:val="36"/>
          <w:szCs w:val="36"/>
        </w:rPr>
        <w:t>二、收入支出预算执行情况分析</w:t>
      </w:r>
    </w:p>
    <w:p>
      <w:pPr>
        <w:pStyle w:val="5"/>
        <w:keepNext w:val="0"/>
        <w:keepLines w:val="0"/>
        <w:widowControl/>
        <w:spacing w:before="281" w:after="281"/>
        <w:jc w:val="left"/>
        <w:rPr>
          <w:rFonts w:ascii="Times New Roman" w:hAnsi="Times New Roman" w:eastAsia="Times New Roman" w:cs="Times New Roman"/>
          <w:b/>
          <w:bCs/>
          <w:color w:val="auto"/>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（一）收入支出预算安排情况。</w:t>
      </w:r>
    </w:p>
    <w:p>
      <w:pPr>
        <w:widowControl/>
        <w:spacing w:before="240" w:after="240"/>
        <w:jc w:val="left"/>
        <w:rPr>
          <w:rFonts w:ascii="Times New Roman" w:hAnsi="Times New Roman" w:eastAsia="Times New Roman" w:cs="Times New Roman"/>
          <w:color w:val="auto"/>
          <w:kern w:val="0"/>
          <w:sz w:val="24"/>
          <w:szCs w:val="24"/>
        </w:rPr>
      </w:pPr>
      <w:r>
        <w:rPr>
          <w:rFonts w:ascii="Times New Roman" w:hAnsi="Times New Roman" w:eastAsia="Times New Roman" w:cs="Times New Roman"/>
          <w:color w:val="auto"/>
          <w:kern w:val="0"/>
          <w:sz w:val="24"/>
          <w:szCs w:val="24"/>
        </w:rPr>
        <w:t>             </w:t>
      </w:r>
      <w:r>
        <w:rPr>
          <w:rFonts w:ascii="宋体" w:hAnsi="宋体" w:eastAsia="宋体" w:cs="宋体"/>
          <w:color w:val="auto"/>
          <w:kern w:val="0"/>
          <w:sz w:val="24"/>
          <w:szCs w:val="24"/>
        </w:rPr>
        <w:t>包括单位收入、支出年初预算安排情况，与上年对比情况及增减变动原因</w:t>
      </w:r>
      <w:r>
        <w:rPr>
          <w:rFonts w:ascii="Times New Roman" w:hAnsi="Times New Roman" w:eastAsia="Times New Roman" w:cs="Times New Roman"/>
          <w:color w:val="auto"/>
          <w:kern w:val="0"/>
          <w:sz w:val="24"/>
          <w:szCs w:val="24"/>
        </w:rPr>
        <w:t>(</w:t>
      </w:r>
      <w:r>
        <w:rPr>
          <w:rFonts w:ascii="宋体" w:hAnsi="宋体" w:eastAsia="宋体" w:cs="宋体"/>
          <w:color w:val="auto"/>
          <w:kern w:val="0"/>
          <w:sz w:val="24"/>
          <w:szCs w:val="24"/>
        </w:rPr>
        <w:t>可用柱形图或折线图</w:t>
      </w:r>
      <w:r>
        <w:rPr>
          <w:rFonts w:ascii="Times New Roman" w:hAnsi="Times New Roman" w:eastAsia="Times New Roman" w:cs="Times New Roman"/>
          <w:color w:val="auto"/>
          <w:kern w:val="0"/>
          <w:sz w:val="24"/>
          <w:szCs w:val="24"/>
        </w:rPr>
        <w:t>)</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一般公共预算财政拨款收入年初预算数为：</w:t>
      </w:r>
      <w:r>
        <w:rPr>
          <w:rFonts w:ascii="Times New Roman" w:hAnsi="Times New Roman" w:eastAsia="Times New Roman" w:cs="Times New Roman"/>
          <w:kern w:val="0"/>
          <w:sz w:val="24"/>
          <w:szCs w:val="24"/>
        </w:rPr>
        <w:t>338.70</w:t>
      </w:r>
      <w:r>
        <w:rPr>
          <w:rFonts w:ascii="宋体" w:hAnsi="宋体" w:eastAsia="宋体" w:cs="宋体"/>
          <w:kern w:val="0"/>
          <w:sz w:val="24"/>
          <w:szCs w:val="24"/>
        </w:rPr>
        <w:t>万元，一般公共预算财政拨款收入决算数为：</w:t>
      </w:r>
      <w:r>
        <w:rPr>
          <w:rFonts w:ascii="Times New Roman" w:hAnsi="Times New Roman" w:eastAsia="Times New Roman" w:cs="Times New Roman"/>
          <w:kern w:val="0"/>
          <w:sz w:val="24"/>
          <w:szCs w:val="24"/>
        </w:rPr>
        <w:t>1,316.59</w:t>
      </w:r>
      <w:r>
        <w:rPr>
          <w:rFonts w:ascii="宋体" w:hAnsi="宋体" w:eastAsia="宋体" w:cs="宋体"/>
          <w:kern w:val="0"/>
          <w:sz w:val="24"/>
          <w:szCs w:val="24"/>
        </w:rPr>
        <w:t>万元，基本支出年初预算数为：</w:t>
      </w:r>
      <w:r>
        <w:rPr>
          <w:rFonts w:ascii="Times New Roman" w:hAnsi="Times New Roman" w:eastAsia="Times New Roman" w:cs="Times New Roman"/>
          <w:kern w:val="0"/>
          <w:sz w:val="24"/>
          <w:szCs w:val="24"/>
        </w:rPr>
        <w:t>338.70</w:t>
      </w:r>
      <w:r>
        <w:rPr>
          <w:rFonts w:ascii="宋体" w:hAnsi="宋体" w:eastAsia="宋体" w:cs="宋体"/>
          <w:kern w:val="0"/>
          <w:sz w:val="24"/>
          <w:szCs w:val="24"/>
        </w:rPr>
        <w:t>万元，基本支出决算数为：</w:t>
      </w:r>
      <w:r>
        <w:rPr>
          <w:rFonts w:ascii="Times New Roman" w:hAnsi="Times New Roman" w:eastAsia="Times New Roman" w:cs="Times New Roman"/>
          <w:kern w:val="0"/>
          <w:sz w:val="24"/>
          <w:szCs w:val="24"/>
        </w:rPr>
        <w:t>335.44</w:t>
      </w:r>
      <w:r>
        <w:rPr>
          <w:rFonts w:ascii="宋体" w:hAnsi="宋体" w:eastAsia="宋体" w:cs="宋体"/>
          <w:kern w:val="0"/>
          <w:sz w:val="24"/>
          <w:szCs w:val="24"/>
        </w:rPr>
        <w:t>万元，政府性基金预算财政拨款收入年初预算数为：</w:t>
      </w:r>
      <w:r>
        <w:rPr>
          <w:rFonts w:hint="eastAsia" w:ascii="宋体" w:hAnsi="宋体" w:eastAsia="宋体" w:cs="宋体"/>
          <w:kern w:val="0"/>
          <w:sz w:val="24"/>
          <w:szCs w:val="24"/>
          <w:lang w:val="en-US" w:eastAsia="zh-CN"/>
        </w:rPr>
        <w:t>0.00</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万元，政府性基金预算财政拨款收入决算数为：</w:t>
      </w:r>
      <w:r>
        <w:rPr>
          <w:rFonts w:ascii="Times New Roman" w:hAnsi="Times New Roman" w:eastAsia="Times New Roman" w:cs="Times New Roman"/>
          <w:kern w:val="0"/>
          <w:sz w:val="24"/>
          <w:szCs w:val="24"/>
        </w:rPr>
        <w:t>2,648.04</w:t>
      </w:r>
      <w:r>
        <w:rPr>
          <w:rFonts w:ascii="宋体" w:hAnsi="宋体" w:eastAsia="宋体" w:cs="宋体"/>
          <w:kern w:val="0"/>
          <w:sz w:val="24"/>
          <w:szCs w:val="24"/>
        </w:rPr>
        <w:t>万元，本年收入合计</w:t>
      </w:r>
      <w:r>
        <w:rPr>
          <w:rFonts w:ascii="Times New Roman" w:hAnsi="Times New Roman" w:eastAsia="Times New Roman" w:cs="Times New Roman"/>
          <w:kern w:val="0"/>
          <w:sz w:val="24"/>
          <w:szCs w:val="24"/>
        </w:rPr>
        <w:t>_</w:t>
      </w:r>
      <w:r>
        <w:rPr>
          <w:rFonts w:ascii="宋体" w:hAnsi="宋体" w:eastAsia="宋体" w:cs="宋体"/>
          <w:kern w:val="0"/>
          <w:sz w:val="24"/>
          <w:szCs w:val="24"/>
        </w:rPr>
        <w:t>年初预算数为：</w:t>
      </w:r>
      <w:r>
        <w:rPr>
          <w:rFonts w:ascii="Times New Roman" w:hAnsi="Times New Roman" w:eastAsia="Times New Roman" w:cs="Times New Roman"/>
          <w:kern w:val="0"/>
          <w:sz w:val="24"/>
          <w:szCs w:val="24"/>
        </w:rPr>
        <w:t>338.70</w:t>
      </w:r>
      <w:r>
        <w:rPr>
          <w:rFonts w:ascii="宋体" w:hAnsi="宋体" w:eastAsia="宋体" w:cs="宋体"/>
          <w:kern w:val="0"/>
          <w:sz w:val="24"/>
          <w:szCs w:val="24"/>
        </w:rPr>
        <w:t>万元，本年收入合计</w:t>
      </w:r>
      <w:r>
        <w:rPr>
          <w:rFonts w:ascii="Times New Roman" w:hAnsi="Times New Roman" w:eastAsia="Times New Roman" w:cs="Times New Roman"/>
          <w:kern w:val="0"/>
          <w:sz w:val="24"/>
          <w:szCs w:val="24"/>
        </w:rPr>
        <w:t>__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3,964.63</w:t>
      </w:r>
      <w:r>
        <w:rPr>
          <w:rFonts w:ascii="宋体" w:hAnsi="宋体" w:eastAsia="宋体" w:cs="宋体"/>
          <w:kern w:val="0"/>
          <w:sz w:val="24"/>
          <w:szCs w:val="24"/>
        </w:rPr>
        <w:t>万元，本年支出合计</w:t>
      </w:r>
      <w:r>
        <w:rPr>
          <w:rFonts w:ascii="Times New Roman" w:hAnsi="Times New Roman" w:eastAsia="Times New Roman" w:cs="Times New Roman"/>
          <w:kern w:val="0"/>
          <w:sz w:val="24"/>
          <w:szCs w:val="24"/>
        </w:rPr>
        <w:t>_</w:t>
      </w:r>
      <w:r>
        <w:rPr>
          <w:rFonts w:ascii="宋体" w:hAnsi="宋体" w:eastAsia="宋体" w:cs="宋体"/>
          <w:kern w:val="0"/>
          <w:sz w:val="24"/>
          <w:szCs w:val="24"/>
        </w:rPr>
        <w:t>年初预算数为：</w:t>
      </w:r>
      <w:r>
        <w:rPr>
          <w:rFonts w:ascii="Times New Roman" w:hAnsi="Times New Roman" w:eastAsia="Times New Roman" w:cs="Times New Roman"/>
          <w:kern w:val="0"/>
          <w:sz w:val="24"/>
          <w:szCs w:val="24"/>
        </w:rPr>
        <w:t>338.70</w:t>
      </w:r>
      <w:r>
        <w:rPr>
          <w:rFonts w:ascii="宋体" w:hAnsi="宋体" w:eastAsia="宋体" w:cs="宋体"/>
          <w:kern w:val="0"/>
          <w:sz w:val="24"/>
          <w:szCs w:val="24"/>
        </w:rPr>
        <w:t>万元，本年支出合计</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3,964.63</w:t>
      </w:r>
      <w:r>
        <w:rPr>
          <w:rFonts w:ascii="宋体" w:hAnsi="宋体" w:eastAsia="宋体" w:cs="宋体"/>
          <w:kern w:val="0"/>
          <w:sz w:val="24"/>
          <w:szCs w:val="24"/>
        </w:rPr>
        <w:t>万元，年末结转和结余</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一般公共服务支出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万元，外交支出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，国防支出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万元，公共安全支出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万元，教育支出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万元，科学技术支出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万元，文化旅游体育与传媒支出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万元，社会保障和就业支出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62.25</w:t>
      </w:r>
      <w:r>
        <w:rPr>
          <w:rFonts w:ascii="宋体" w:hAnsi="宋体" w:eastAsia="宋体" w:cs="宋体"/>
          <w:kern w:val="0"/>
          <w:sz w:val="24"/>
          <w:szCs w:val="24"/>
        </w:rPr>
        <w:t>万元，卫生健康支出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10.52</w:t>
      </w:r>
      <w:r>
        <w:rPr>
          <w:rFonts w:ascii="宋体" w:hAnsi="宋体" w:eastAsia="宋体" w:cs="宋体"/>
          <w:kern w:val="0"/>
          <w:sz w:val="24"/>
          <w:szCs w:val="24"/>
        </w:rPr>
        <w:t>万元，节能环保支出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万元，城乡社区支出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万元，农林水支出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1.00</w:t>
      </w:r>
      <w:r>
        <w:rPr>
          <w:rFonts w:ascii="宋体" w:hAnsi="宋体" w:eastAsia="宋体" w:cs="宋体"/>
          <w:kern w:val="0"/>
          <w:sz w:val="24"/>
          <w:szCs w:val="24"/>
        </w:rPr>
        <w:t>万元，交通运输支出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万元，资源勘探工业信息等支出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万元，商业服务业等支出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1,227.21</w:t>
      </w:r>
      <w:r>
        <w:rPr>
          <w:rFonts w:ascii="宋体" w:hAnsi="宋体" w:eastAsia="宋体" w:cs="宋体"/>
          <w:kern w:val="0"/>
          <w:sz w:val="24"/>
          <w:szCs w:val="24"/>
        </w:rPr>
        <w:t>万元，金融支出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万元，援助其他地区支出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万元，自然资源海洋气象等支出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万元，住房保障支出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15.62</w:t>
      </w:r>
      <w:r>
        <w:rPr>
          <w:rFonts w:ascii="宋体" w:hAnsi="宋体" w:eastAsia="宋体" w:cs="宋体"/>
          <w:kern w:val="0"/>
          <w:sz w:val="24"/>
          <w:szCs w:val="24"/>
        </w:rPr>
        <w:t>万元，粮油物资储备支出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万元，国有资本经营预算支出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万元，灾害防治及应急管理支出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万元，其他支出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2,648.04</w:t>
      </w:r>
      <w:r>
        <w:rPr>
          <w:rFonts w:ascii="宋体" w:hAnsi="宋体" w:eastAsia="宋体" w:cs="宋体"/>
          <w:kern w:val="0"/>
          <w:sz w:val="24"/>
          <w:szCs w:val="24"/>
        </w:rPr>
        <w:t>万元，债务还本支出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万元，债务付息支出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万元，抗疫特别国债安排的支出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万元，基本支出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335.44</w:t>
      </w:r>
      <w:r>
        <w:rPr>
          <w:rFonts w:ascii="宋体" w:hAnsi="宋体" w:eastAsia="宋体" w:cs="宋体"/>
          <w:kern w:val="0"/>
          <w:sz w:val="24"/>
          <w:szCs w:val="24"/>
        </w:rPr>
        <w:t>万元，人员经费支出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 xml:space="preserve"> 302.70</w:t>
      </w:r>
      <w:r>
        <w:rPr>
          <w:rFonts w:ascii="宋体" w:hAnsi="宋体" w:eastAsia="宋体" w:cs="宋体"/>
          <w:kern w:val="0"/>
          <w:sz w:val="24"/>
          <w:szCs w:val="24"/>
        </w:rPr>
        <w:t>万元，公用经费支出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32.74</w:t>
      </w:r>
      <w:r>
        <w:rPr>
          <w:rFonts w:ascii="宋体" w:hAnsi="宋体" w:eastAsia="宋体" w:cs="宋体"/>
          <w:kern w:val="0"/>
          <w:sz w:val="24"/>
          <w:szCs w:val="24"/>
        </w:rPr>
        <w:t>万元，项目支出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ascii="Times New Roman" w:hAnsi="Times New Roman" w:eastAsia="Times New Roman" w:cs="Times New Roman"/>
          <w:kern w:val="0"/>
          <w:sz w:val="24"/>
          <w:szCs w:val="24"/>
        </w:rPr>
        <w:t>3,629.18</w:t>
      </w:r>
      <w:r>
        <w:rPr>
          <w:rFonts w:ascii="宋体" w:hAnsi="宋体" w:eastAsia="宋体" w:cs="宋体"/>
          <w:kern w:val="0"/>
          <w:sz w:val="24"/>
          <w:szCs w:val="24"/>
        </w:rPr>
        <w:t>万元，其中：基本建设类项目支出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万元，上缴上级支出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万元，经营支出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万元，对附属单位补助支出</w:t>
      </w:r>
      <w:r>
        <w:rPr>
          <w:rFonts w:ascii="Times New Roman" w:hAnsi="Times New Roman" w:eastAsia="Times New Roman" w:cs="Times New Roman"/>
          <w:kern w:val="0"/>
          <w:sz w:val="24"/>
          <w:szCs w:val="24"/>
        </w:rPr>
        <w:t>_</w:t>
      </w:r>
      <w:r>
        <w:rPr>
          <w:rFonts w:ascii="宋体" w:hAnsi="宋体" w:eastAsia="宋体" w:cs="宋体"/>
          <w:kern w:val="0"/>
          <w:sz w:val="24"/>
          <w:szCs w:val="24"/>
        </w:rPr>
        <w:t>决算数为</w:t>
      </w:r>
      <w:r>
        <w:rPr>
          <w:rFonts w:hint="eastAsia" w:ascii="Times New Roman" w:hAnsi="Times New Roman" w:eastAsia="宋体" w:cs="Times New Roman"/>
          <w:kern w:val="0"/>
          <w:sz w:val="24"/>
          <w:szCs w:val="24"/>
          <w:lang w:val="en-US" w:eastAsia="zh-CN"/>
        </w:rPr>
        <w:t>0.00</w:t>
      </w:r>
      <w:r>
        <w:rPr>
          <w:rFonts w:ascii="宋体" w:hAnsi="宋体" w:eastAsia="宋体" w:cs="宋体"/>
          <w:kern w:val="0"/>
          <w:sz w:val="24"/>
          <w:szCs w:val="24"/>
        </w:rPr>
        <w:t>万元。</w:t>
      </w:r>
    </w:p>
    <w:p>
      <w:pPr>
        <w:pStyle w:val="5"/>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（二）收入支出预算执行情况。</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            </w:t>
      </w:r>
      <w:r>
        <w:rPr>
          <w:rFonts w:ascii="宋体" w:hAnsi="宋体" w:eastAsia="宋体" w:cs="宋体"/>
          <w:kern w:val="0"/>
          <w:sz w:val="24"/>
          <w:szCs w:val="24"/>
        </w:rPr>
        <w:t>当年收入支出预算执行基本情况，与上年度对比情况，包括增减绝对值与幅度，增减变动主要原因</w:t>
      </w:r>
      <w:r>
        <w:rPr>
          <w:rFonts w:ascii="Times New Roman" w:hAnsi="Times New Roman" w:eastAsia="Times New Roman" w:cs="Times New Roman"/>
          <w:kern w:val="0"/>
          <w:sz w:val="24"/>
          <w:szCs w:val="24"/>
        </w:rPr>
        <w:t>(</w:t>
      </w:r>
      <w:r>
        <w:rPr>
          <w:rFonts w:ascii="宋体" w:hAnsi="宋体" w:eastAsia="宋体" w:cs="宋体"/>
          <w:kern w:val="0"/>
          <w:sz w:val="24"/>
          <w:szCs w:val="24"/>
        </w:rPr>
        <w:t>可用柱形图或折线图</w:t>
      </w:r>
      <w:r>
        <w:rPr>
          <w:rFonts w:ascii="Times New Roman" w:hAnsi="Times New Roman" w:eastAsia="Times New Roman" w:cs="Times New Roman"/>
          <w:kern w:val="0"/>
          <w:sz w:val="24"/>
          <w:szCs w:val="24"/>
        </w:rPr>
        <w:t>)</w:t>
      </w:r>
      <w:r>
        <w:rPr>
          <w:rFonts w:ascii="宋体" w:hAnsi="宋体" w:eastAsia="宋体" w:cs="宋体"/>
          <w:kern w:val="0"/>
          <w:sz w:val="24"/>
          <w:szCs w:val="24"/>
        </w:rPr>
        <w:t>。</w:t>
      </w:r>
      <w:r>
        <w:rPr>
          <w:rFonts w:ascii="Times New Roman" w:hAnsi="Times New Roman" w:eastAsia="Times New Roman" w:cs="Times New Roman"/>
          <w:kern w:val="0"/>
          <w:sz w:val="24"/>
          <w:szCs w:val="24"/>
        </w:rPr>
        <w:t>   </w:t>
      </w:r>
    </w:p>
    <w:p>
      <w:pPr>
        <w:pStyle w:val="6"/>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1</w:t>
      </w:r>
      <w:r>
        <w:rPr>
          <w:rFonts w:ascii="宋体" w:hAnsi="宋体" w:eastAsia="宋体" w:cs="宋体"/>
          <w:b/>
          <w:bCs/>
          <w:i w:val="0"/>
          <w:iCs w:val="0"/>
          <w:color w:val="auto"/>
          <w:kern w:val="0"/>
          <w:sz w:val="24"/>
          <w:szCs w:val="24"/>
        </w:rPr>
        <w:t>．收入支出与预算对比分析。</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1</w:t>
      </w:r>
      <w:r>
        <w:rPr>
          <w:rFonts w:ascii="宋体" w:hAnsi="宋体" w:eastAsia="宋体" w:cs="宋体"/>
          <w:kern w:val="0"/>
          <w:sz w:val="24"/>
          <w:szCs w:val="24"/>
        </w:rPr>
        <w:t>）预、决算差异情况，可分收入支出功能科目、分单位、分收入支出具体项目逐项对比（可列表）。</w:t>
      </w:r>
    </w:p>
    <w:p>
      <w:pPr>
        <w:widowControl/>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本年度收入（支出）</w:t>
      </w:r>
      <w:r>
        <w:rPr>
          <w:rFonts w:hint="eastAsia" w:ascii="宋体" w:hAnsi="宋体" w:eastAsia="宋体" w:cs="宋体"/>
          <w:kern w:val="0"/>
          <w:sz w:val="24"/>
          <w:szCs w:val="24"/>
          <w:lang w:eastAsia="zh-CN"/>
        </w:rPr>
        <w:t>决算数</w:t>
      </w:r>
      <w:r>
        <w:rPr>
          <w:rFonts w:hint="eastAsia" w:ascii="宋体" w:hAnsi="宋体" w:eastAsia="宋体" w:cs="宋体"/>
          <w:kern w:val="0"/>
          <w:sz w:val="24"/>
          <w:szCs w:val="24"/>
          <w:lang w:val="en-US" w:eastAsia="zh-CN"/>
        </w:rPr>
        <w:t>3,964.63</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338.70</w:t>
      </w:r>
      <w:r>
        <w:rPr>
          <w:rFonts w:hint="eastAsia" w:ascii="宋体" w:hAnsi="宋体" w:eastAsia="宋体" w:cs="宋体"/>
          <w:kern w:val="0"/>
          <w:sz w:val="24"/>
          <w:szCs w:val="24"/>
        </w:rPr>
        <w:t>万元增加收入（支出）</w:t>
      </w:r>
      <w:r>
        <w:rPr>
          <w:rFonts w:hint="eastAsia" w:ascii="宋体" w:hAnsi="宋体" w:eastAsia="宋体" w:cs="宋体"/>
          <w:kern w:val="0"/>
          <w:sz w:val="24"/>
          <w:szCs w:val="24"/>
          <w:lang w:val="en-US" w:eastAsia="zh-CN"/>
        </w:rPr>
        <w:t>3,625.93</w:t>
      </w:r>
      <w:r>
        <w:rPr>
          <w:rFonts w:hint="eastAsia" w:ascii="宋体" w:hAnsi="宋体" w:eastAsia="宋体" w:cs="宋体"/>
          <w:kern w:val="0"/>
          <w:sz w:val="24"/>
          <w:szCs w:val="24"/>
        </w:rPr>
        <w:t>万元，增长</w:t>
      </w:r>
      <w:r>
        <w:rPr>
          <w:rFonts w:hint="eastAsia" w:ascii="宋体" w:hAnsi="宋体" w:eastAsia="宋体" w:cs="宋体"/>
          <w:kern w:val="0"/>
          <w:sz w:val="24"/>
          <w:szCs w:val="24"/>
          <w:lang w:val="en-US" w:eastAsia="zh-CN"/>
        </w:rPr>
        <w:t>1,070.54</w:t>
      </w:r>
      <w:r>
        <w:rPr>
          <w:rFonts w:hint="eastAsia" w:ascii="宋体" w:hAnsi="宋体" w:eastAsia="宋体" w:cs="宋体"/>
          <w:kern w:val="0"/>
          <w:sz w:val="24"/>
          <w:szCs w:val="24"/>
        </w:rPr>
        <w:t>%。主要增减原因如下：</w:t>
      </w:r>
    </w:p>
    <w:p>
      <w:pPr>
        <w:widowControl/>
        <w:spacing w:before="240" w:after="240"/>
        <w:ind w:firstLine="482" w:firstLineChars="200"/>
        <w:jc w:val="left"/>
        <w:rPr>
          <w:rFonts w:hint="eastAsia" w:ascii="宋体" w:hAnsi="宋体" w:eastAsia="宋体" w:cs="宋体"/>
          <w:kern w:val="0"/>
          <w:sz w:val="24"/>
          <w:szCs w:val="24"/>
        </w:rPr>
      </w:pPr>
      <w:r>
        <w:rPr>
          <w:rFonts w:hint="eastAsia" w:ascii="宋体" w:hAnsi="宋体" w:eastAsia="宋体" w:cs="宋体"/>
          <w:b/>
          <w:bCs/>
          <w:kern w:val="0"/>
          <w:sz w:val="24"/>
          <w:szCs w:val="24"/>
        </w:rPr>
        <w:t>①工资福利支出：</w:t>
      </w:r>
      <w:r>
        <w:rPr>
          <w:rFonts w:hint="eastAsia" w:ascii="宋体" w:hAnsi="宋体" w:eastAsia="宋体" w:cs="宋体"/>
          <w:kern w:val="0"/>
          <w:sz w:val="24"/>
          <w:szCs w:val="24"/>
        </w:rPr>
        <w:t>本年度工资福利支出</w:t>
      </w:r>
      <w:r>
        <w:rPr>
          <w:rFonts w:hint="eastAsia" w:ascii="宋体" w:hAnsi="宋体" w:eastAsia="宋体" w:cs="宋体"/>
          <w:kern w:val="0"/>
          <w:sz w:val="24"/>
          <w:szCs w:val="24"/>
          <w:lang w:val="en-US" w:eastAsia="zh-CN"/>
        </w:rPr>
        <w:t>251.46</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249.00</w:t>
      </w:r>
      <w:r>
        <w:rPr>
          <w:rFonts w:hint="eastAsia" w:ascii="宋体" w:hAnsi="宋体" w:eastAsia="宋体" w:cs="宋体"/>
          <w:kern w:val="0"/>
          <w:sz w:val="24"/>
          <w:szCs w:val="24"/>
        </w:rPr>
        <w:t>万元增加支出</w:t>
      </w:r>
      <w:r>
        <w:rPr>
          <w:rFonts w:hint="eastAsia" w:ascii="宋体" w:hAnsi="宋体" w:eastAsia="宋体" w:cs="宋体"/>
          <w:kern w:val="0"/>
          <w:sz w:val="24"/>
          <w:szCs w:val="24"/>
          <w:lang w:val="en-US" w:eastAsia="zh-CN"/>
        </w:rPr>
        <w:t>2.46</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增长</w:t>
      </w:r>
      <w:r>
        <w:rPr>
          <w:rFonts w:hint="eastAsia" w:ascii="宋体" w:hAnsi="宋体" w:eastAsia="宋体" w:cs="宋体"/>
          <w:kern w:val="0"/>
          <w:sz w:val="24"/>
          <w:szCs w:val="24"/>
          <w:lang w:val="en-US" w:eastAsia="zh-CN"/>
        </w:rPr>
        <w:t>0.99%</w:t>
      </w:r>
      <w:r>
        <w:rPr>
          <w:rFonts w:hint="eastAsia" w:ascii="宋体" w:hAnsi="宋体" w:eastAsia="宋体" w:cs="宋体"/>
          <w:kern w:val="0"/>
          <w:sz w:val="24"/>
          <w:szCs w:val="24"/>
        </w:rPr>
        <w:t>。</w:t>
      </w:r>
    </w:p>
    <w:p>
      <w:pPr>
        <w:widowControl/>
        <w:spacing w:before="240" w:after="240"/>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主要增减原因如下：基本工资支出</w:t>
      </w:r>
      <w:r>
        <w:rPr>
          <w:rFonts w:hint="eastAsia" w:ascii="宋体" w:hAnsi="宋体" w:eastAsia="宋体" w:cs="宋体"/>
          <w:kern w:val="0"/>
          <w:sz w:val="24"/>
          <w:szCs w:val="24"/>
          <w:lang w:val="en-US" w:eastAsia="zh-CN"/>
        </w:rPr>
        <w:t>71.20</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66.78万元</w:t>
      </w:r>
      <w:r>
        <w:rPr>
          <w:rFonts w:hint="eastAsia" w:ascii="宋体" w:hAnsi="宋体" w:eastAsia="宋体" w:cs="宋体"/>
          <w:kern w:val="0"/>
          <w:sz w:val="24"/>
          <w:szCs w:val="24"/>
        </w:rPr>
        <w:t>增加支出</w:t>
      </w:r>
      <w:r>
        <w:rPr>
          <w:rFonts w:hint="eastAsia" w:ascii="宋体" w:hAnsi="宋体" w:eastAsia="宋体" w:cs="宋体"/>
          <w:kern w:val="0"/>
          <w:sz w:val="24"/>
          <w:szCs w:val="24"/>
          <w:lang w:val="en-US" w:eastAsia="zh-CN"/>
        </w:rPr>
        <w:t>4.42</w:t>
      </w:r>
      <w:r>
        <w:rPr>
          <w:rFonts w:hint="eastAsia" w:ascii="宋体" w:hAnsi="宋体" w:eastAsia="宋体" w:cs="宋体"/>
          <w:kern w:val="0"/>
          <w:sz w:val="24"/>
          <w:szCs w:val="24"/>
        </w:rPr>
        <w:t>万元，主要为</w:t>
      </w:r>
      <w:r>
        <w:rPr>
          <w:rFonts w:hint="eastAsia" w:ascii="宋体" w:hAnsi="宋体" w:eastAsia="宋体" w:cs="宋体"/>
          <w:kern w:val="0"/>
          <w:sz w:val="24"/>
          <w:szCs w:val="24"/>
          <w:lang w:eastAsia="zh-CN"/>
        </w:rPr>
        <w:t>本年度调入</w:t>
      </w:r>
      <w:r>
        <w:rPr>
          <w:rFonts w:hint="eastAsia" w:ascii="宋体" w:hAnsi="宋体" w:eastAsia="宋体" w:cs="宋体"/>
          <w:kern w:val="0"/>
          <w:sz w:val="24"/>
          <w:szCs w:val="24"/>
          <w:lang w:val="en-US" w:eastAsia="zh-CN"/>
        </w:rPr>
        <w:t>1名公务员而增加的基本工资支出</w:t>
      </w:r>
      <w:r>
        <w:rPr>
          <w:rFonts w:hint="eastAsia" w:ascii="宋体" w:hAnsi="宋体" w:eastAsia="宋体" w:cs="宋体"/>
          <w:kern w:val="0"/>
          <w:sz w:val="24"/>
          <w:szCs w:val="24"/>
        </w:rPr>
        <w:t>；津贴补贴（含奖励绩效工资）支出</w:t>
      </w:r>
      <w:r>
        <w:rPr>
          <w:rFonts w:hint="eastAsia" w:ascii="宋体" w:hAnsi="宋体" w:eastAsia="宋体" w:cs="宋体"/>
          <w:kern w:val="0"/>
          <w:sz w:val="24"/>
          <w:szCs w:val="24"/>
          <w:lang w:val="en-US" w:eastAsia="zh-CN"/>
        </w:rPr>
        <w:t>81.54</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78.77万元</w:t>
      </w:r>
      <w:r>
        <w:rPr>
          <w:rFonts w:hint="eastAsia" w:ascii="宋体" w:hAnsi="宋体" w:eastAsia="宋体" w:cs="宋体"/>
          <w:kern w:val="0"/>
          <w:sz w:val="24"/>
          <w:szCs w:val="24"/>
        </w:rPr>
        <w:t>增加支出</w:t>
      </w:r>
      <w:r>
        <w:rPr>
          <w:rFonts w:hint="eastAsia" w:ascii="宋体" w:hAnsi="宋体" w:eastAsia="宋体" w:cs="宋体"/>
          <w:kern w:val="0"/>
          <w:sz w:val="24"/>
          <w:szCs w:val="24"/>
          <w:lang w:val="en-US" w:eastAsia="zh-CN"/>
        </w:rPr>
        <w:t>2.77</w:t>
      </w:r>
      <w:r>
        <w:rPr>
          <w:rFonts w:hint="eastAsia" w:ascii="宋体" w:hAnsi="宋体" w:eastAsia="宋体" w:cs="宋体"/>
          <w:kern w:val="0"/>
          <w:sz w:val="24"/>
          <w:szCs w:val="24"/>
        </w:rPr>
        <w:t>万元，主要为</w:t>
      </w:r>
      <w:r>
        <w:rPr>
          <w:rFonts w:hint="eastAsia" w:ascii="宋体" w:hAnsi="宋体" w:eastAsia="宋体" w:cs="宋体"/>
          <w:kern w:val="0"/>
          <w:sz w:val="24"/>
          <w:szCs w:val="24"/>
          <w:lang w:eastAsia="zh-CN"/>
        </w:rPr>
        <w:t>本年度调入</w:t>
      </w:r>
      <w:r>
        <w:rPr>
          <w:rFonts w:hint="eastAsia" w:ascii="宋体" w:hAnsi="宋体" w:eastAsia="宋体" w:cs="宋体"/>
          <w:kern w:val="0"/>
          <w:sz w:val="24"/>
          <w:szCs w:val="24"/>
          <w:lang w:val="en-US" w:eastAsia="zh-CN"/>
        </w:rPr>
        <w:t>1名公务员而增加的津贴补贴</w:t>
      </w:r>
      <w:r>
        <w:rPr>
          <w:rFonts w:hint="eastAsia" w:ascii="宋体" w:hAnsi="宋体" w:eastAsia="宋体" w:cs="宋体"/>
          <w:kern w:val="0"/>
          <w:sz w:val="24"/>
          <w:szCs w:val="24"/>
        </w:rPr>
        <w:t>支出；奖金支出</w:t>
      </w:r>
      <w:r>
        <w:rPr>
          <w:rFonts w:hint="eastAsia" w:ascii="宋体" w:hAnsi="宋体" w:eastAsia="宋体" w:cs="宋体"/>
          <w:kern w:val="0"/>
          <w:sz w:val="24"/>
          <w:szCs w:val="24"/>
          <w:lang w:val="en-US" w:eastAsia="zh-CN"/>
        </w:rPr>
        <w:t>15.85</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6.72万元</w:t>
      </w:r>
      <w:r>
        <w:rPr>
          <w:rFonts w:hint="eastAsia" w:ascii="宋体" w:hAnsi="宋体" w:eastAsia="宋体" w:cs="宋体"/>
          <w:kern w:val="0"/>
          <w:sz w:val="24"/>
          <w:szCs w:val="24"/>
        </w:rPr>
        <w:t>增加支出</w:t>
      </w:r>
      <w:r>
        <w:rPr>
          <w:rFonts w:hint="eastAsia" w:ascii="宋体" w:hAnsi="宋体" w:eastAsia="宋体" w:cs="宋体"/>
          <w:kern w:val="0"/>
          <w:sz w:val="24"/>
          <w:szCs w:val="24"/>
          <w:lang w:val="en-US" w:eastAsia="zh-CN"/>
        </w:rPr>
        <w:t>9.13</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主要是本年度发放基础绩效奖金、公务员年终奖金及年度考核奖等</w:t>
      </w:r>
      <w:r>
        <w:rPr>
          <w:rFonts w:hint="eastAsia" w:ascii="宋体" w:hAnsi="宋体" w:eastAsia="宋体" w:cs="宋体"/>
          <w:kern w:val="0"/>
          <w:sz w:val="24"/>
          <w:szCs w:val="24"/>
        </w:rPr>
        <w:t>；机关事业单位基本养老缴费支出</w:t>
      </w:r>
      <w:r>
        <w:rPr>
          <w:rFonts w:hint="eastAsia" w:ascii="宋体" w:hAnsi="宋体" w:eastAsia="宋体" w:cs="宋体"/>
          <w:kern w:val="0"/>
          <w:sz w:val="24"/>
          <w:szCs w:val="24"/>
          <w:lang w:val="en-US" w:eastAsia="zh-CN"/>
        </w:rPr>
        <w:t>24.95</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24.36万元</w:t>
      </w:r>
      <w:r>
        <w:rPr>
          <w:rFonts w:hint="eastAsia" w:ascii="宋体" w:hAnsi="宋体" w:eastAsia="宋体" w:cs="宋体"/>
          <w:kern w:val="0"/>
          <w:sz w:val="24"/>
          <w:szCs w:val="24"/>
        </w:rPr>
        <w:t>增加支出</w:t>
      </w:r>
      <w:r>
        <w:rPr>
          <w:rFonts w:hint="eastAsia" w:ascii="宋体" w:hAnsi="宋体" w:eastAsia="宋体" w:cs="宋体"/>
          <w:kern w:val="0"/>
          <w:sz w:val="24"/>
          <w:szCs w:val="24"/>
          <w:lang w:val="en-US" w:eastAsia="zh-CN"/>
        </w:rPr>
        <w:t>0.59</w:t>
      </w:r>
      <w:r>
        <w:rPr>
          <w:rFonts w:hint="eastAsia" w:ascii="宋体" w:hAnsi="宋体" w:eastAsia="宋体" w:cs="宋体"/>
          <w:kern w:val="0"/>
          <w:sz w:val="24"/>
          <w:szCs w:val="24"/>
        </w:rPr>
        <w:t>万元，主要是</w:t>
      </w:r>
      <w:r>
        <w:rPr>
          <w:rFonts w:hint="eastAsia" w:ascii="宋体" w:hAnsi="宋体" w:eastAsia="宋体" w:cs="宋体"/>
          <w:kern w:val="0"/>
          <w:sz w:val="24"/>
          <w:szCs w:val="24"/>
          <w:lang w:eastAsia="zh-CN"/>
        </w:rPr>
        <w:t>本年度调入</w:t>
      </w:r>
      <w:r>
        <w:rPr>
          <w:rFonts w:hint="eastAsia" w:ascii="宋体" w:hAnsi="宋体" w:eastAsia="宋体" w:cs="宋体"/>
          <w:kern w:val="0"/>
          <w:sz w:val="24"/>
          <w:szCs w:val="24"/>
          <w:lang w:val="en-US" w:eastAsia="zh-CN"/>
        </w:rPr>
        <w:t>1名公务员而增加</w:t>
      </w:r>
      <w:r>
        <w:rPr>
          <w:rFonts w:hint="eastAsia" w:ascii="宋体" w:hAnsi="宋体" w:eastAsia="宋体" w:cs="宋体"/>
          <w:kern w:val="0"/>
          <w:sz w:val="24"/>
          <w:szCs w:val="24"/>
        </w:rPr>
        <w:t>的养老保险支出；职业年金缴费支出</w:t>
      </w:r>
      <w:r>
        <w:rPr>
          <w:rFonts w:hint="eastAsia" w:ascii="宋体" w:hAnsi="宋体" w:eastAsia="宋体" w:cs="宋体"/>
          <w:kern w:val="0"/>
          <w:sz w:val="24"/>
          <w:szCs w:val="24"/>
          <w:lang w:val="en-US" w:eastAsia="zh-CN"/>
        </w:rPr>
        <w:t>0.00万</w:t>
      </w:r>
      <w:r>
        <w:rPr>
          <w:rFonts w:hint="eastAsia" w:ascii="宋体" w:hAnsi="宋体" w:eastAsia="宋体" w:cs="宋体"/>
          <w:kern w:val="0"/>
          <w:sz w:val="24"/>
          <w:szCs w:val="24"/>
        </w:rPr>
        <w:t>元，较年初预算</w:t>
      </w:r>
      <w:r>
        <w:rPr>
          <w:rFonts w:hint="eastAsia" w:ascii="宋体" w:hAnsi="宋体" w:eastAsia="宋体" w:cs="宋体"/>
          <w:kern w:val="0"/>
          <w:sz w:val="24"/>
          <w:szCs w:val="24"/>
          <w:lang w:val="en-US" w:eastAsia="zh-CN"/>
        </w:rPr>
        <w:t>12.18万元</w:t>
      </w:r>
      <w:r>
        <w:rPr>
          <w:rFonts w:hint="eastAsia" w:ascii="宋体" w:hAnsi="宋体" w:eastAsia="宋体" w:cs="宋体"/>
          <w:kern w:val="0"/>
          <w:sz w:val="24"/>
          <w:szCs w:val="24"/>
        </w:rPr>
        <w:t>减少支出</w:t>
      </w:r>
      <w:r>
        <w:rPr>
          <w:rFonts w:hint="eastAsia" w:ascii="宋体" w:hAnsi="宋体" w:eastAsia="宋体" w:cs="宋体"/>
          <w:kern w:val="0"/>
          <w:sz w:val="24"/>
          <w:szCs w:val="24"/>
          <w:lang w:val="en-US" w:eastAsia="zh-CN"/>
        </w:rPr>
        <w:t>12.18</w:t>
      </w:r>
      <w:r>
        <w:rPr>
          <w:rFonts w:hint="eastAsia" w:ascii="宋体" w:hAnsi="宋体" w:eastAsia="宋体" w:cs="宋体"/>
          <w:kern w:val="0"/>
          <w:sz w:val="24"/>
          <w:szCs w:val="24"/>
        </w:rPr>
        <w:t>万元，主要是</w:t>
      </w:r>
      <w:r>
        <w:rPr>
          <w:rFonts w:hint="eastAsia" w:ascii="宋体" w:hAnsi="宋体" w:eastAsia="宋体" w:cs="宋体"/>
          <w:kern w:val="0"/>
          <w:sz w:val="24"/>
          <w:szCs w:val="24"/>
          <w:lang w:eastAsia="zh-CN"/>
        </w:rPr>
        <w:t>本年度无退休人员，未缴纳单位部分</w:t>
      </w:r>
      <w:r>
        <w:rPr>
          <w:rFonts w:hint="eastAsia" w:ascii="宋体" w:hAnsi="宋体" w:eastAsia="宋体" w:cs="宋体"/>
          <w:kern w:val="0"/>
          <w:sz w:val="24"/>
          <w:szCs w:val="24"/>
        </w:rPr>
        <w:t>职业年金；职工基本医疗保险缴费支出（含医疗费）</w:t>
      </w:r>
      <w:r>
        <w:rPr>
          <w:rFonts w:hint="eastAsia" w:ascii="宋体" w:hAnsi="宋体" w:eastAsia="宋体" w:cs="宋体"/>
          <w:kern w:val="0"/>
          <w:sz w:val="24"/>
          <w:szCs w:val="24"/>
          <w:lang w:val="en-US" w:eastAsia="zh-CN"/>
        </w:rPr>
        <w:t>10.52</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11.74</w:t>
      </w:r>
      <w:r>
        <w:rPr>
          <w:rFonts w:hint="default" w:ascii="宋体" w:hAnsi="宋体" w:eastAsia="宋体" w:cs="宋体"/>
          <w:kern w:val="0"/>
          <w:sz w:val="24"/>
          <w:szCs w:val="24"/>
          <w:lang w:eastAsia="zh-CN"/>
        </w:rPr>
        <w:t>万元</w:t>
      </w:r>
      <w:r>
        <w:rPr>
          <w:rFonts w:hint="eastAsia" w:ascii="宋体" w:hAnsi="宋体" w:eastAsia="宋体" w:cs="宋体"/>
          <w:kern w:val="0"/>
          <w:sz w:val="24"/>
          <w:szCs w:val="24"/>
        </w:rPr>
        <w:t>减少支出</w:t>
      </w:r>
      <w:r>
        <w:rPr>
          <w:rFonts w:hint="eastAsia" w:ascii="宋体" w:hAnsi="宋体" w:eastAsia="宋体" w:cs="宋体"/>
          <w:kern w:val="0"/>
          <w:sz w:val="24"/>
          <w:szCs w:val="24"/>
          <w:lang w:val="en-US" w:eastAsia="zh-CN"/>
        </w:rPr>
        <w:t>1.22</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，主要是本年度医疗保险缴费比例调整为</w:t>
      </w:r>
      <w:r>
        <w:rPr>
          <w:rFonts w:hint="eastAsia" w:ascii="宋体" w:hAnsi="宋体" w:eastAsia="宋体" w:cs="宋体"/>
          <w:kern w:val="0"/>
          <w:sz w:val="24"/>
          <w:szCs w:val="24"/>
          <w:lang w:val="en-US" w:eastAsia="zh-CN"/>
        </w:rPr>
        <w:t>6.5%</w:t>
      </w:r>
      <w:r>
        <w:rPr>
          <w:rFonts w:hint="eastAsia" w:ascii="宋体" w:hAnsi="宋体" w:eastAsia="宋体" w:cs="宋体"/>
          <w:kern w:val="0"/>
          <w:sz w:val="24"/>
          <w:szCs w:val="24"/>
        </w:rPr>
        <w:t>；其他社会保障缴费（工伤和失业保险）支出</w:t>
      </w:r>
      <w:r>
        <w:rPr>
          <w:rFonts w:hint="eastAsia" w:ascii="宋体" w:hAnsi="宋体" w:eastAsia="宋体" w:cs="宋体"/>
          <w:kern w:val="0"/>
          <w:sz w:val="24"/>
          <w:szCs w:val="24"/>
          <w:lang w:val="en-US" w:eastAsia="zh-CN"/>
        </w:rPr>
        <w:t>1.23</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1.32万元</w:t>
      </w:r>
      <w:r>
        <w:rPr>
          <w:rFonts w:hint="eastAsia" w:ascii="宋体" w:hAnsi="宋体" w:eastAsia="宋体" w:cs="宋体"/>
          <w:kern w:val="0"/>
          <w:sz w:val="24"/>
          <w:szCs w:val="24"/>
        </w:rPr>
        <w:t>减少支出</w:t>
      </w:r>
      <w:r>
        <w:rPr>
          <w:rFonts w:hint="eastAsia" w:ascii="宋体" w:hAnsi="宋体" w:eastAsia="宋体" w:cs="宋体"/>
          <w:kern w:val="0"/>
          <w:sz w:val="24"/>
          <w:szCs w:val="24"/>
          <w:lang w:val="en-US" w:eastAsia="zh-CN"/>
        </w:rPr>
        <w:t>0.09</w:t>
      </w:r>
      <w:r>
        <w:rPr>
          <w:rFonts w:hint="eastAsia" w:ascii="宋体" w:hAnsi="宋体" w:eastAsia="宋体" w:cs="宋体"/>
          <w:kern w:val="0"/>
          <w:sz w:val="24"/>
          <w:szCs w:val="24"/>
        </w:rPr>
        <w:t>万元；本年度住房公积金缴费支出为</w:t>
      </w:r>
      <w:r>
        <w:rPr>
          <w:rFonts w:hint="eastAsia" w:ascii="宋体" w:hAnsi="宋体" w:eastAsia="宋体" w:cs="宋体"/>
          <w:kern w:val="0"/>
          <w:sz w:val="24"/>
          <w:szCs w:val="24"/>
          <w:lang w:val="en-US" w:eastAsia="zh-CN"/>
        </w:rPr>
        <w:t>15.62万元</w:t>
      </w:r>
      <w:r>
        <w:rPr>
          <w:rFonts w:hint="eastAsia" w:ascii="宋体" w:hAnsi="宋体" w:eastAsia="宋体" w:cs="宋体"/>
          <w:kern w:val="0"/>
          <w:sz w:val="24"/>
          <w:szCs w:val="24"/>
        </w:rPr>
        <w:t>，较年初预算</w:t>
      </w:r>
      <w:r>
        <w:rPr>
          <w:rFonts w:hint="eastAsia" w:ascii="宋体" w:hAnsi="宋体" w:eastAsia="宋体" w:cs="宋体"/>
          <w:kern w:val="0"/>
          <w:sz w:val="24"/>
          <w:szCs w:val="24"/>
          <w:lang w:val="en-US" w:eastAsia="zh-CN"/>
        </w:rPr>
        <w:t>15.23万元</w:t>
      </w:r>
      <w:r>
        <w:rPr>
          <w:rFonts w:hint="eastAsia" w:ascii="宋体" w:hAnsi="宋体" w:eastAsia="宋体" w:cs="宋体"/>
          <w:kern w:val="0"/>
          <w:sz w:val="24"/>
          <w:szCs w:val="24"/>
          <w:lang w:eastAsia="zh-CN"/>
        </w:rPr>
        <w:t>增加</w:t>
      </w:r>
      <w:r>
        <w:rPr>
          <w:rFonts w:hint="eastAsia" w:ascii="宋体" w:hAnsi="宋体" w:eastAsia="宋体" w:cs="宋体"/>
          <w:kern w:val="0"/>
          <w:sz w:val="24"/>
          <w:szCs w:val="24"/>
        </w:rPr>
        <w:t>支出</w:t>
      </w:r>
      <w:r>
        <w:rPr>
          <w:rFonts w:hint="eastAsia" w:ascii="宋体" w:hAnsi="宋体" w:eastAsia="宋体" w:cs="宋体"/>
          <w:kern w:val="0"/>
          <w:sz w:val="24"/>
          <w:szCs w:val="24"/>
          <w:lang w:val="en-US" w:eastAsia="zh-CN"/>
        </w:rPr>
        <w:t xml:space="preserve"> 0.39</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主要是</w:t>
      </w:r>
      <w:r>
        <w:rPr>
          <w:rFonts w:hint="eastAsia" w:ascii="宋体" w:hAnsi="宋体" w:eastAsia="宋体" w:cs="宋体"/>
          <w:kern w:val="0"/>
          <w:sz w:val="24"/>
          <w:szCs w:val="24"/>
          <w:lang w:eastAsia="zh-CN"/>
        </w:rPr>
        <w:t>本年度调入</w:t>
      </w:r>
      <w:r>
        <w:rPr>
          <w:rFonts w:hint="eastAsia" w:ascii="宋体" w:hAnsi="宋体" w:eastAsia="宋体" w:cs="宋体"/>
          <w:kern w:val="0"/>
          <w:sz w:val="24"/>
          <w:szCs w:val="24"/>
          <w:lang w:val="en-US" w:eastAsia="zh-CN"/>
        </w:rPr>
        <w:t>1名公务员而增加</w:t>
      </w:r>
      <w:r>
        <w:rPr>
          <w:rFonts w:hint="eastAsia" w:ascii="宋体" w:hAnsi="宋体" w:eastAsia="宋体" w:cs="宋体"/>
          <w:kern w:val="0"/>
          <w:sz w:val="24"/>
          <w:szCs w:val="24"/>
        </w:rPr>
        <w:t>的</w:t>
      </w:r>
      <w:r>
        <w:rPr>
          <w:rFonts w:hint="eastAsia" w:ascii="宋体" w:hAnsi="宋体" w:eastAsia="宋体" w:cs="宋体"/>
          <w:kern w:val="0"/>
          <w:sz w:val="24"/>
          <w:szCs w:val="24"/>
          <w:lang w:eastAsia="zh-CN"/>
        </w:rPr>
        <w:t>住房公积金</w:t>
      </w:r>
      <w:r>
        <w:rPr>
          <w:rFonts w:hint="eastAsia" w:ascii="宋体" w:hAnsi="宋体" w:eastAsia="宋体" w:cs="宋体"/>
          <w:kern w:val="0"/>
          <w:sz w:val="24"/>
          <w:szCs w:val="24"/>
        </w:rPr>
        <w:t>支出</w:t>
      </w:r>
      <w:r>
        <w:rPr>
          <w:rFonts w:hint="eastAsia" w:ascii="宋体" w:hAnsi="宋体" w:eastAsia="宋体" w:cs="宋体"/>
          <w:kern w:val="0"/>
          <w:sz w:val="24"/>
          <w:szCs w:val="24"/>
          <w:lang w:eastAsia="zh-CN"/>
        </w:rPr>
        <w:t>；其他工资福利支出</w:t>
      </w:r>
      <w:r>
        <w:rPr>
          <w:rFonts w:hint="eastAsia" w:ascii="宋体" w:hAnsi="宋体" w:eastAsia="宋体" w:cs="宋体"/>
          <w:kern w:val="0"/>
          <w:sz w:val="24"/>
          <w:szCs w:val="24"/>
          <w:lang w:val="en-US" w:eastAsia="zh-CN"/>
        </w:rPr>
        <w:t>30.56万元，较年初预算31.90万元减少支出1.34万元，主要是医疗保险缴费比例调整及社保缴费基数调整等而减少的编外人员保险支出。</w:t>
      </w:r>
    </w:p>
    <w:p>
      <w:pPr>
        <w:widowControl/>
        <w:spacing w:before="240" w:after="240"/>
        <w:ind w:firstLine="420" w:firstLineChars="200"/>
        <w:jc w:val="left"/>
        <w:rPr>
          <w:rFonts w:hint="default" w:ascii="宋体" w:hAnsi="宋体" w:eastAsia="宋体" w:cs="宋体"/>
          <w:kern w:val="0"/>
          <w:sz w:val="24"/>
          <w:szCs w:val="24"/>
          <w:lang w:val="en-US" w:eastAsia="zh-CN"/>
        </w:rPr>
      </w:pPr>
      <w:r>
        <w:drawing>
          <wp:inline distT="0" distB="0" distL="114300" distR="114300">
            <wp:extent cx="4824730" cy="2231390"/>
            <wp:effectExtent l="4445" t="4445" r="9525" b="1206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spacing w:before="240" w:after="240"/>
        <w:ind w:firstLine="482" w:firstLineChars="200"/>
        <w:jc w:val="left"/>
        <w:rPr>
          <w:rFonts w:hint="eastAsia" w:ascii="宋体" w:hAnsi="宋体" w:eastAsia="宋体" w:cs="宋体"/>
          <w:kern w:val="0"/>
          <w:sz w:val="24"/>
          <w:szCs w:val="24"/>
          <w:lang w:val="en-US" w:eastAsia="zh-CN"/>
        </w:rPr>
      </w:pPr>
      <w:r>
        <w:rPr>
          <w:rFonts w:hint="eastAsia" w:ascii="宋体" w:hAnsi="宋体" w:eastAsia="宋体" w:cs="宋体"/>
          <w:b/>
          <w:bCs/>
          <w:kern w:val="0"/>
          <w:sz w:val="24"/>
          <w:szCs w:val="24"/>
          <w:lang w:val="en-US" w:eastAsia="zh-CN"/>
        </w:rPr>
        <w:t>②商品和服务支出</w:t>
      </w:r>
      <w:r>
        <w:rPr>
          <w:rFonts w:hint="eastAsia" w:ascii="宋体" w:hAnsi="宋体" w:eastAsia="宋体" w:cs="宋体"/>
          <w:kern w:val="0"/>
          <w:sz w:val="24"/>
          <w:szCs w:val="24"/>
          <w:lang w:val="en-US" w:eastAsia="zh-CN"/>
        </w:rPr>
        <w:t>：本年度商品和服务支出32.74万元，较年初预算13.64万元增加支出19.1万元，增长140.03%，主要增减原因如下：</w:t>
      </w:r>
    </w:p>
    <w:p>
      <w:pPr>
        <w:numPr>
          <w:ilvl w:val="0"/>
          <w:numId w:val="0"/>
        </w:numPr>
        <w:ind w:firstLine="480" w:firstLineChars="200"/>
        <w:rPr>
          <w:rFonts w:hint="eastAsia" w:ascii="宋体" w:hAnsi="宋体" w:eastAsia="宋体" w:cs="宋体"/>
          <w:kern w:val="0"/>
          <w:sz w:val="24"/>
          <w:szCs w:val="24"/>
          <w:lang w:eastAsia="zh-CN"/>
        </w:rPr>
      </w:pPr>
      <w:r>
        <w:rPr>
          <w:rFonts w:hint="eastAsia" w:ascii="宋体" w:hAnsi="宋体" w:eastAsia="宋体" w:cs="宋体"/>
          <w:kern w:val="0"/>
          <w:sz w:val="24"/>
          <w:szCs w:val="24"/>
        </w:rPr>
        <w:t>办公费支出</w:t>
      </w:r>
      <w:r>
        <w:rPr>
          <w:rFonts w:hint="eastAsia" w:ascii="宋体" w:hAnsi="宋体" w:eastAsia="宋体" w:cs="宋体"/>
          <w:kern w:val="0"/>
          <w:sz w:val="24"/>
          <w:szCs w:val="24"/>
          <w:lang w:val="en-US" w:eastAsia="zh-CN"/>
        </w:rPr>
        <w:t>8.99</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1.50</w:t>
      </w:r>
      <w:r>
        <w:rPr>
          <w:rFonts w:hint="eastAsia" w:ascii="宋体" w:hAnsi="宋体" w:eastAsia="宋体" w:cs="宋体"/>
          <w:kern w:val="0"/>
          <w:sz w:val="24"/>
          <w:szCs w:val="24"/>
        </w:rPr>
        <w:t>万元增加支出</w:t>
      </w:r>
      <w:r>
        <w:rPr>
          <w:rFonts w:hint="eastAsia" w:ascii="宋体" w:hAnsi="宋体" w:eastAsia="宋体" w:cs="宋体"/>
          <w:kern w:val="0"/>
          <w:sz w:val="24"/>
          <w:szCs w:val="24"/>
          <w:lang w:val="en-US" w:eastAsia="zh-CN"/>
        </w:rPr>
        <w:t>7.49</w:t>
      </w:r>
      <w:r>
        <w:rPr>
          <w:rFonts w:hint="eastAsia" w:ascii="宋体" w:hAnsi="宋体" w:eastAsia="宋体" w:cs="宋体"/>
          <w:kern w:val="0"/>
          <w:sz w:val="24"/>
          <w:szCs w:val="24"/>
        </w:rPr>
        <w:t>万元，主要是单位购买办公耗材费用及订刊费用等；</w:t>
      </w:r>
      <w:r>
        <w:rPr>
          <w:rFonts w:hint="eastAsia" w:ascii="宋体" w:hAnsi="宋体" w:eastAsia="宋体" w:cs="宋体"/>
          <w:kern w:val="0"/>
          <w:sz w:val="24"/>
          <w:szCs w:val="24"/>
          <w:lang w:val="en-US" w:eastAsia="zh-CN"/>
        </w:rPr>
        <w:t>印刷费支出1.04万元，较年初预算0.00万元增加支出1.04万元，主要是用于单位会议室制作图版及印刷活动条幅等产生的印刷费用；水费支出0.66万元，较年初预算0.00万元增加支出0.66万元，为购买饮用桶装水费用支出；</w:t>
      </w:r>
      <w:r>
        <w:rPr>
          <w:rFonts w:hint="eastAsia" w:ascii="宋体" w:hAnsi="宋体" w:eastAsia="宋体" w:cs="宋体"/>
          <w:kern w:val="0"/>
          <w:sz w:val="24"/>
          <w:szCs w:val="24"/>
        </w:rPr>
        <w:t>邮电费支出</w:t>
      </w:r>
      <w:r>
        <w:rPr>
          <w:rFonts w:hint="eastAsia" w:ascii="宋体" w:hAnsi="宋体" w:eastAsia="宋体" w:cs="宋体"/>
          <w:kern w:val="0"/>
          <w:sz w:val="24"/>
          <w:szCs w:val="24"/>
          <w:lang w:val="en-US" w:eastAsia="zh-CN"/>
        </w:rPr>
        <w:t>0.69</w:t>
      </w:r>
      <w:r>
        <w:rPr>
          <w:rFonts w:hint="eastAsia" w:ascii="宋体" w:hAnsi="宋体" w:eastAsia="宋体" w:cs="宋体"/>
          <w:kern w:val="0"/>
          <w:sz w:val="24"/>
          <w:szCs w:val="24"/>
        </w:rPr>
        <w:t>万元，</w:t>
      </w:r>
      <w:r>
        <w:rPr>
          <w:rFonts w:hint="eastAsia" w:ascii="宋体" w:hAnsi="宋体" w:eastAsia="宋体" w:cs="宋体"/>
          <w:kern w:val="0"/>
          <w:sz w:val="24"/>
          <w:szCs w:val="24"/>
          <w:lang w:val="en-US" w:eastAsia="zh-CN"/>
        </w:rPr>
        <w:t>较年初预算0.30万元增加支出0.39万元，为单位座机电话费支出；</w:t>
      </w:r>
      <w:r>
        <w:rPr>
          <w:rFonts w:hint="eastAsia" w:ascii="宋体" w:hAnsi="宋体" w:eastAsia="宋体" w:cs="宋体"/>
          <w:kern w:val="0"/>
          <w:sz w:val="24"/>
          <w:szCs w:val="24"/>
        </w:rPr>
        <w:t>差旅费支出</w:t>
      </w:r>
      <w:r>
        <w:rPr>
          <w:rFonts w:hint="eastAsia" w:ascii="宋体" w:hAnsi="宋体" w:eastAsia="宋体" w:cs="宋体"/>
          <w:kern w:val="0"/>
          <w:sz w:val="24"/>
          <w:szCs w:val="24"/>
          <w:lang w:val="en-US" w:eastAsia="zh-CN"/>
        </w:rPr>
        <w:t>5.45</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万元增加支出</w:t>
      </w:r>
      <w:r>
        <w:rPr>
          <w:rFonts w:hint="eastAsia" w:ascii="宋体" w:hAnsi="宋体" w:eastAsia="宋体" w:cs="宋体"/>
          <w:kern w:val="0"/>
          <w:sz w:val="24"/>
          <w:szCs w:val="24"/>
          <w:lang w:val="en-US" w:eastAsia="zh-CN"/>
        </w:rPr>
        <w:t>5.45</w:t>
      </w:r>
      <w:r>
        <w:rPr>
          <w:rFonts w:hint="eastAsia" w:ascii="宋体" w:hAnsi="宋体" w:eastAsia="宋体" w:cs="宋体"/>
          <w:kern w:val="0"/>
          <w:sz w:val="24"/>
          <w:szCs w:val="24"/>
        </w:rPr>
        <w:t>万元，主要是本年度</w:t>
      </w:r>
      <w:r>
        <w:rPr>
          <w:rFonts w:hint="eastAsia" w:ascii="宋体" w:hAnsi="宋体" w:eastAsia="宋体" w:cs="宋体"/>
          <w:kern w:val="0"/>
          <w:sz w:val="24"/>
          <w:szCs w:val="24"/>
          <w:lang w:eastAsia="zh-CN"/>
        </w:rPr>
        <w:t>外出参加会议及培训及安全生产下乡检查等产生</w:t>
      </w:r>
      <w:r>
        <w:rPr>
          <w:rFonts w:hint="eastAsia" w:ascii="宋体" w:hAnsi="宋体" w:eastAsia="宋体" w:cs="宋体"/>
          <w:kern w:val="0"/>
          <w:sz w:val="24"/>
          <w:szCs w:val="24"/>
        </w:rPr>
        <w:t>的支出；会议费支出</w:t>
      </w:r>
      <w:r>
        <w:rPr>
          <w:rFonts w:hint="eastAsia" w:ascii="宋体" w:hAnsi="宋体" w:eastAsia="宋体" w:cs="宋体"/>
          <w:kern w:val="0"/>
          <w:sz w:val="24"/>
          <w:szCs w:val="24"/>
          <w:lang w:val="en-US" w:eastAsia="zh-CN"/>
        </w:rPr>
        <w:t>0.25</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较年初预算</w:t>
      </w: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万元增加支出</w:t>
      </w:r>
      <w:r>
        <w:rPr>
          <w:rFonts w:hint="eastAsia" w:ascii="宋体" w:hAnsi="宋体" w:eastAsia="宋体" w:cs="宋体"/>
          <w:kern w:val="0"/>
          <w:sz w:val="24"/>
          <w:szCs w:val="24"/>
          <w:lang w:val="en-US" w:eastAsia="zh-CN"/>
        </w:rPr>
        <w:t>0.25</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主要是安全生产开展培训会等产生的会议费支出；</w:t>
      </w:r>
      <w:r>
        <w:rPr>
          <w:rFonts w:hint="eastAsia" w:ascii="宋体" w:hAnsi="宋体" w:eastAsia="宋体" w:cs="宋体"/>
          <w:kern w:val="0"/>
          <w:sz w:val="24"/>
          <w:szCs w:val="24"/>
        </w:rPr>
        <w:t>培训费支出</w:t>
      </w:r>
      <w:r>
        <w:rPr>
          <w:rFonts w:hint="eastAsia" w:ascii="宋体" w:hAnsi="宋体" w:eastAsia="宋体" w:cs="宋体"/>
          <w:kern w:val="0"/>
          <w:sz w:val="24"/>
          <w:szCs w:val="24"/>
          <w:lang w:val="en-US" w:eastAsia="zh-CN"/>
        </w:rPr>
        <w:t>1.02</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万元增加支出</w:t>
      </w:r>
      <w:r>
        <w:rPr>
          <w:rFonts w:hint="eastAsia" w:ascii="宋体" w:hAnsi="宋体" w:eastAsia="宋体" w:cs="宋体"/>
          <w:kern w:val="0"/>
          <w:sz w:val="24"/>
          <w:szCs w:val="24"/>
          <w:lang w:val="en-US" w:eastAsia="zh-CN"/>
        </w:rPr>
        <w:t>1.02</w:t>
      </w:r>
      <w:r>
        <w:rPr>
          <w:rFonts w:hint="eastAsia" w:ascii="宋体" w:hAnsi="宋体" w:eastAsia="宋体" w:cs="宋体"/>
          <w:kern w:val="0"/>
          <w:sz w:val="24"/>
          <w:szCs w:val="24"/>
        </w:rPr>
        <w:t>万元，主要是</w:t>
      </w:r>
      <w:r>
        <w:rPr>
          <w:rFonts w:hint="eastAsia" w:ascii="宋体" w:hAnsi="宋体" w:eastAsia="宋体" w:cs="宋体"/>
          <w:kern w:val="0"/>
          <w:sz w:val="24"/>
          <w:szCs w:val="24"/>
          <w:lang w:eastAsia="zh-CN"/>
        </w:rPr>
        <w:t>外出</w:t>
      </w:r>
      <w:r>
        <w:rPr>
          <w:rFonts w:hint="eastAsia" w:ascii="宋体" w:hAnsi="宋体" w:eastAsia="宋体" w:cs="宋体"/>
          <w:kern w:val="0"/>
          <w:sz w:val="24"/>
          <w:szCs w:val="24"/>
        </w:rPr>
        <w:t>参加各培训班而增加的培训费用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委托业务费支出</w:t>
      </w:r>
      <w:r>
        <w:rPr>
          <w:rFonts w:hint="eastAsia" w:ascii="宋体" w:hAnsi="宋体" w:eastAsia="宋体" w:cs="宋体"/>
          <w:kern w:val="0"/>
          <w:sz w:val="24"/>
          <w:szCs w:val="24"/>
          <w:lang w:val="en-US" w:eastAsia="zh-CN"/>
        </w:rPr>
        <w:t>3.22</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0.00</w:t>
      </w:r>
      <w:r>
        <w:rPr>
          <w:rFonts w:hint="eastAsia" w:ascii="宋体" w:hAnsi="宋体" w:eastAsia="宋体" w:cs="宋体"/>
          <w:kern w:val="0"/>
          <w:sz w:val="24"/>
          <w:szCs w:val="24"/>
        </w:rPr>
        <w:t>万元增加支出</w:t>
      </w:r>
      <w:r>
        <w:rPr>
          <w:rFonts w:hint="eastAsia" w:ascii="宋体" w:hAnsi="宋体" w:eastAsia="宋体" w:cs="宋体"/>
          <w:kern w:val="0"/>
          <w:sz w:val="24"/>
          <w:szCs w:val="24"/>
          <w:lang w:val="en-US" w:eastAsia="zh-CN"/>
        </w:rPr>
        <w:t>3.22万元，</w:t>
      </w:r>
      <w:r>
        <w:rPr>
          <w:rFonts w:hint="eastAsia" w:ascii="宋体" w:hAnsi="宋体" w:eastAsia="宋体" w:cs="宋体"/>
          <w:kern w:val="0"/>
          <w:sz w:val="24"/>
          <w:szCs w:val="24"/>
        </w:rPr>
        <w:t>主要是</w:t>
      </w:r>
      <w:r>
        <w:rPr>
          <w:rFonts w:hint="eastAsia" w:ascii="宋体" w:hAnsi="宋体" w:eastAsia="宋体" w:cs="宋体"/>
          <w:kern w:val="0"/>
          <w:sz w:val="24"/>
          <w:szCs w:val="24"/>
          <w:lang w:eastAsia="zh-CN"/>
        </w:rPr>
        <w:t>本年度支付奈曼旗物流园区总体规划修编报告编制费用、青山商城消防设施维修费用及安全生产技术咨询服务费用</w:t>
      </w:r>
      <w:r>
        <w:rPr>
          <w:rFonts w:hint="eastAsia" w:ascii="宋体" w:hAnsi="宋体" w:eastAsia="宋体" w:cs="宋体"/>
          <w:kern w:val="0"/>
          <w:sz w:val="24"/>
          <w:szCs w:val="24"/>
        </w:rPr>
        <w:t>；公务接待费支出</w:t>
      </w:r>
      <w:r>
        <w:rPr>
          <w:rFonts w:hint="eastAsia" w:ascii="宋体" w:hAnsi="宋体" w:eastAsia="宋体" w:cs="宋体"/>
          <w:kern w:val="0"/>
          <w:sz w:val="24"/>
          <w:szCs w:val="24"/>
          <w:lang w:val="en-US" w:eastAsia="zh-CN"/>
        </w:rPr>
        <w:t>0.48</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较年初预算</w:t>
      </w:r>
      <w:r>
        <w:rPr>
          <w:rFonts w:hint="eastAsia" w:ascii="宋体" w:hAnsi="宋体" w:eastAsia="宋体" w:cs="宋体"/>
          <w:kern w:val="0"/>
          <w:sz w:val="24"/>
          <w:szCs w:val="24"/>
          <w:lang w:val="en-US" w:eastAsia="zh-CN"/>
        </w:rPr>
        <w:t>1.00万元减少支出0.52万元，</w:t>
      </w:r>
      <w:r>
        <w:rPr>
          <w:rFonts w:hint="eastAsia" w:ascii="宋体" w:hAnsi="宋体" w:eastAsia="宋体" w:cs="宋体"/>
          <w:kern w:val="0"/>
          <w:sz w:val="24"/>
          <w:szCs w:val="24"/>
        </w:rPr>
        <w:t>主要是接待</w:t>
      </w:r>
      <w:r>
        <w:rPr>
          <w:rFonts w:hint="eastAsia" w:ascii="宋体" w:hAnsi="宋体" w:eastAsia="宋体" w:cs="宋体"/>
          <w:kern w:val="0"/>
          <w:sz w:val="24"/>
          <w:szCs w:val="24"/>
          <w:lang w:eastAsia="zh-CN"/>
        </w:rPr>
        <w:t>通辽市金融局、商务局</w:t>
      </w:r>
      <w:r>
        <w:rPr>
          <w:rFonts w:hint="default" w:ascii="宋体" w:hAnsi="宋体" w:eastAsia="宋体" w:cs="宋体"/>
          <w:kern w:val="0"/>
          <w:sz w:val="24"/>
          <w:szCs w:val="24"/>
          <w:lang w:eastAsia="zh-CN"/>
        </w:rPr>
        <w:t>等</w:t>
      </w:r>
      <w:r>
        <w:rPr>
          <w:rFonts w:hint="eastAsia" w:ascii="宋体" w:hAnsi="宋体" w:eastAsia="宋体" w:cs="宋体"/>
          <w:kern w:val="0"/>
          <w:sz w:val="24"/>
          <w:szCs w:val="24"/>
        </w:rPr>
        <w:t>督导组费用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公务用车运行维护费支出</w:t>
      </w:r>
      <w:r>
        <w:rPr>
          <w:rFonts w:hint="eastAsia" w:ascii="宋体" w:hAnsi="宋体" w:eastAsia="宋体" w:cs="宋体"/>
          <w:kern w:val="0"/>
          <w:sz w:val="24"/>
          <w:szCs w:val="24"/>
          <w:lang w:val="en-US" w:eastAsia="zh-CN"/>
        </w:rPr>
        <w:t>3.59</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较年初预算</w:t>
      </w:r>
      <w:r>
        <w:rPr>
          <w:rFonts w:hint="eastAsia" w:ascii="宋体" w:hAnsi="宋体" w:eastAsia="宋体" w:cs="宋体"/>
          <w:kern w:val="0"/>
          <w:sz w:val="24"/>
          <w:szCs w:val="24"/>
          <w:lang w:val="en-US" w:eastAsia="zh-CN"/>
        </w:rPr>
        <w:t>5.00万元减少支出1.41万元，</w:t>
      </w:r>
      <w:r>
        <w:rPr>
          <w:rFonts w:hint="eastAsia" w:ascii="宋体" w:hAnsi="宋体" w:eastAsia="宋体" w:cs="宋体"/>
          <w:kern w:val="0"/>
          <w:sz w:val="24"/>
          <w:szCs w:val="24"/>
        </w:rPr>
        <w:t>主要是</w:t>
      </w:r>
      <w:r>
        <w:rPr>
          <w:rFonts w:hint="eastAsia" w:ascii="宋体" w:hAnsi="宋体" w:eastAsia="宋体" w:cs="宋体"/>
          <w:kern w:val="0"/>
          <w:sz w:val="24"/>
          <w:szCs w:val="24"/>
          <w:lang w:eastAsia="zh-CN"/>
        </w:rPr>
        <w:t>本年度减少疫情工作等而减少的</w:t>
      </w:r>
      <w:r>
        <w:rPr>
          <w:rFonts w:hint="eastAsia" w:ascii="宋体" w:hAnsi="宋体" w:eastAsia="宋体" w:cs="宋体"/>
          <w:kern w:val="0"/>
          <w:sz w:val="24"/>
          <w:szCs w:val="24"/>
        </w:rPr>
        <w:t>公务车燃油费和维修费支出；其他交通费</w:t>
      </w:r>
      <w:r>
        <w:rPr>
          <w:rFonts w:hint="eastAsia" w:ascii="宋体" w:hAnsi="宋体" w:eastAsia="宋体" w:cs="宋体"/>
          <w:kern w:val="0"/>
          <w:sz w:val="24"/>
          <w:szCs w:val="24"/>
          <w:lang w:val="en-US" w:eastAsia="zh-CN"/>
        </w:rPr>
        <w:t>0.72</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较年初预算</w:t>
      </w:r>
      <w:r>
        <w:rPr>
          <w:rFonts w:hint="eastAsia" w:ascii="宋体" w:hAnsi="宋体" w:eastAsia="宋体" w:cs="宋体"/>
          <w:kern w:val="0"/>
          <w:sz w:val="24"/>
          <w:szCs w:val="24"/>
          <w:lang w:val="en-US" w:eastAsia="zh-CN"/>
        </w:rPr>
        <w:t>5.34万元减少支出4.62万元，主要是</w:t>
      </w:r>
      <w:bookmarkStart w:id="1" w:name="_GoBack"/>
      <w:bookmarkEnd w:id="1"/>
      <w:r>
        <w:rPr>
          <w:rFonts w:hint="eastAsia" w:ascii="宋体" w:hAnsi="宋体" w:eastAsia="宋体" w:cs="宋体"/>
          <w:kern w:val="0"/>
          <w:sz w:val="24"/>
          <w:szCs w:val="24"/>
        </w:rPr>
        <w:t>乡村振兴工作交通补贴费用</w:t>
      </w:r>
      <w:r>
        <w:rPr>
          <w:rFonts w:hint="eastAsia" w:ascii="宋体" w:hAnsi="宋体" w:eastAsia="宋体" w:cs="宋体"/>
          <w:kern w:val="0"/>
          <w:sz w:val="24"/>
          <w:szCs w:val="24"/>
          <w:lang w:eastAsia="zh-CN"/>
        </w:rPr>
        <w:t>，且</w:t>
      </w:r>
      <w:r>
        <w:rPr>
          <w:rFonts w:hint="eastAsia" w:ascii="宋体" w:hAnsi="宋体" w:eastAsia="宋体" w:cs="宋体"/>
          <w:kern w:val="0"/>
          <w:sz w:val="24"/>
          <w:szCs w:val="24"/>
          <w:lang w:val="en-US" w:eastAsia="zh-CN"/>
        </w:rPr>
        <w:t>本年度公务员交通补贴列支津贴补贴；</w:t>
      </w:r>
      <w:r>
        <w:rPr>
          <w:rFonts w:hint="eastAsia" w:ascii="宋体" w:hAnsi="宋体" w:eastAsia="宋体" w:cs="宋体"/>
          <w:kern w:val="0"/>
          <w:sz w:val="24"/>
          <w:szCs w:val="24"/>
        </w:rPr>
        <w:t>其他商品服务支出</w:t>
      </w:r>
      <w:r>
        <w:rPr>
          <w:rFonts w:hint="eastAsia" w:ascii="宋体" w:hAnsi="宋体" w:eastAsia="宋体" w:cs="宋体"/>
          <w:kern w:val="0"/>
          <w:sz w:val="24"/>
          <w:szCs w:val="24"/>
          <w:lang w:val="en-US" w:eastAsia="zh-CN"/>
        </w:rPr>
        <w:t>6.63</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0.5</w:t>
      </w:r>
      <w:r>
        <w:rPr>
          <w:rFonts w:hint="eastAsia" w:ascii="宋体" w:hAnsi="宋体" w:eastAsia="宋体" w:cs="宋体"/>
          <w:kern w:val="0"/>
          <w:sz w:val="24"/>
          <w:szCs w:val="24"/>
        </w:rPr>
        <w:t>万元增加支出</w:t>
      </w:r>
      <w:r>
        <w:rPr>
          <w:rFonts w:hint="eastAsia" w:ascii="宋体" w:hAnsi="宋体" w:eastAsia="宋体" w:cs="宋体"/>
          <w:kern w:val="0"/>
          <w:sz w:val="24"/>
          <w:szCs w:val="24"/>
          <w:lang w:val="en-US" w:eastAsia="zh-CN"/>
        </w:rPr>
        <w:t>6.13</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，主要是单位运行中无法列支其他费用科目的商品服务支出。</w:t>
      </w:r>
    </w:p>
    <w:p>
      <w:pPr>
        <w:numPr>
          <w:ilvl w:val="0"/>
          <w:numId w:val="0"/>
        </w:numPr>
        <w:ind w:firstLine="420" w:firstLineChars="200"/>
        <w:rPr>
          <w:rFonts w:hint="eastAsia" w:ascii="宋体" w:hAnsi="宋体" w:eastAsia="宋体" w:cs="宋体"/>
          <w:kern w:val="0"/>
          <w:sz w:val="24"/>
          <w:szCs w:val="24"/>
          <w:lang w:eastAsia="zh-CN"/>
        </w:rPr>
      </w:pPr>
      <w:r>
        <w:drawing>
          <wp:inline distT="0" distB="0" distL="114300" distR="114300">
            <wp:extent cx="4572000" cy="2743200"/>
            <wp:effectExtent l="4445" t="4445" r="14605" b="14605"/>
            <wp:docPr id="9"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numPr>
          <w:ilvl w:val="0"/>
          <w:numId w:val="0"/>
        </w:numPr>
        <w:ind w:firstLine="482" w:firstLineChars="200"/>
        <w:rPr>
          <w:rFonts w:hint="eastAsia" w:ascii="宋体" w:hAnsi="宋体" w:eastAsia="宋体" w:cs="宋体"/>
          <w:kern w:val="0"/>
          <w:sz w:val="24"/>
          <w:szCs w:val="24"/>
          <w:lang w:eastAsia="zh-CN"/>
        </w:rPr>
      </w:pPr>
      <w:r>
        <w:rPr>
          <w:rFonts w:hint="eastAsia" w:ascii="宋体" w:hAnsi="宋体" w:eastAsia="宋体" w:cs="宋体"/>
          <w:b/>
          <w:bCs/>
          <w:kern w:val="0"/>
          <w:sz w:val="24"/>
          <w:szCs w:val="24"/>
          <w:lang w:val="en-US" w:eastAsia="zh-CN"/>
        </w:rPr>
        <w:t>③对个人和家庭的补助支出：</w:t>
      </w:r>
      <w:r>
        <w:rPr>
          <w:rFonts w:hint="eastAsia" w:ascii="宋体" w:hAnsi="宋体" w:eastAsia="宋体" w:cs="宋体"/>
          <w:kern w:val="0"/>
          <w:sz w:val="24"/>
          <w:szCs w:val="24"/>
          <w:lang w:eastAsia="zh-CN"/>
        </w:rPr>
        <w:t>本年度对个人和家庭的补助支出</w:t>
      </w:r>
      <w:r>
        <w:rPr>
          <w:rFonts w:hint="eastAsia" w:ascii="宋体" w:hAnsi="宋体" w:eastAsia="宋体" w:cs="宋体"/>
          <w:kern w:val="0"/>
          <w:sz w:val="24"/>
          <w:szCs w:val="24"/>
          <w:lang w:val="en-US" w:eastAsia="zh-CN"/>
        </w:rPr>
        <w:t>51.24</w:t>
      </w:r>
      <w:r>
        <w:rPr>
          <w:rFonts w:hint="eastAsia" w:ascii="宋体" w:hAnsi="宋体" w:eastAsia="宋体" w:cs="宋体"/>
          <w:kern w:val="0"/>
          <w:sz w:val="24"/>
          <w:szCs w:val="24"/>
          <w:lang w:eastAsia="zh-CN"/>
        </w:rPr>
        <w:t>万元，较年初预算</w:t>
      </w:r>
      <w:r>
        <w:rPr>
          <w:rFonts w:hint="eastAsia" w:ascii="宋体" w:hAnsi="宋体" w:eastAsia="宋体" w:cs="宋体"/>
          <w:kern w:val="0"/>
          <w:sz w:val="24"/>
          <w:szCs w:val="24"/>
          <w:lang w:val="en-US" w:eastAsia="zh-CN"/>
        </w:rPr>
        <w:t>60.06</w:t>
      </w:r>
      <w:r>
        <w:rPr>
          <w:rFonts w:hint="eastAsia" w:ascii="宋体" w:hAnsi="宋体" w:eastAsia="宋体" w:cs="宋体"/>
          <w:kern w:val="0"/>
          <w:sz w:val="24"/>
          <w:szCs w:val="24"/>
          <w:lang w:eastAsia="zh-CN"/>
        </w:rPr>
        <w:t>万元减少支出</w:t>
      </w:r>
      <w:r>
        <w:rPr>
          <w:rFonts w:hint="eastAsia" w:ascii="宋体" w:hAnsi="宋体" w:eastAsia="宋体" w:cs="宋体"/>
          <w:kern w:val="0"/>
          <w:sz w:val="24"/>
          <w:szCs w:val="24"/>
          <w:lang w:val="en-US" w:eastAsia="zh-CN"/>
        </w:rPr>
        <w:t>8.82</w:t>
      </w:r>
      <w:r>
        <w:rPr>
          <w:rFonts w:hint="eastAsia" w:ascii="宋体" w:hAnsi="宋体" w:eastAsia="宋体" w:cs="宋体"/>
          <w:kern w:val="0"/>
          <w:sz w:val="24"/>
          <w:szCs w:val="24"/>
          <w:lang w:eastAsia="zh-CN"/>
        </w:rPr>
        <w:t>万元，减少</w:t>
      </w:r>
      <w:r>
        <w:rPr>
          <w:rFonts w:hint="eastAsia" w:ascii="宋体" w:hAnsi="宋体" w:eastAsia="宋体" w:cs="宋体"/>
          <w:kern w:val="0"/>
          <w:sz w:val="24"/>
          <w:szCs w:val="24"/>
          <w:lang w:val="en-US" w:eastAsia="zh-CN"/>
        </w:rPr>
        <w:t>14.69</w:t>
      </w:r>
      <w:r>
        <w:rPr>
          <w:rFonts w:hint="eastAsia" w:ascii="宋体" w:hAnsi="宋体" w:eastAsia="宋体" w:cs="宋体"/>
          <w:kern w:val="0"/>
          <w:sz w:val="24"/>
          <w:szCs w:val="24"/>
          <w:lang w:eastAsia="zh-CN"/>
        </w:rPr>
        <w:t>%，主要增减原因如下：</w:t>
      </w:r>
    </w:p>
    <w:p>
      <w:pPr>
        <w:numPr>
          <w:ilvl w:val="0"/>
          <w:numId w:val="0"/>
        </w:num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本年度离休费支出</w:t>
      </w:r>
      <w:r>
        <w:rPr>
          <w:rFonts w:hint="eastAsia" w:ascii="宋体" w:hAnsi="宋体" w:eastAsia="宋体" w:cs="宋体"/>
          <w:kern w:val="0"/>
          <w:sz w:val="24"/>
          <w:szCs w:val="24"/>
          <w:lang w:val="en-US" w:eastAsia="zh-CN"/>
        </w:rPr>
        <w:t>6.23</w:t>
      </w:r>
      <w:r>
        <w:rPr>
          <w:rFonts w:hint="eastAsia" w:ascii="宋体" w:hAnsi="宋体" w:eastAsia="宋体" w:cs="宋体"/>
          <w:kern w:val="0"/>
          <w:sz w:val="24"/>
          <w:szCs w:val="24"/>
          <w:lang w:eastAsia="zh-CN"/>
        </w:rPr>
        <w:t>万元，较年初预算</w:t>
      </w:r>
      <w:r>
        <w:rPr>
          <w:rFonts w:hint="eastAsia" w:ascii="宋体" w:hAnsi="宋体" w:eastAsia="宋体" w:cs="宋体"/>
          <w:kern w:val="0"/>
          <w:sz w:val="24"/>
          <w:szCs w:val="24"/>
          <w:lang w:val="en-US" w:eastAsia="zh-CN"/>
        </w:rPr>
        <w:t>14.28万元</w:t>
      </w:r>
      <w:r>
        <w:rPr>
          <w:rFonts w:hint="eastAsia" w:ascii="宋体" w:hAnsi="宋体" w:eastAsia="宋体" w:cs="宋体"/>
          <w:kern w:val="0"/>
          <w:sz w:val="24"/>
          <w:szCs w:val="24"/>
          <w:lang w:eastAsia="zh-CN"/>
        </w:rPr>
        <w:t>减少支出</w:t>
      </w:r>
      <w:r>
        <w:rPr>
          <w:rFonts w:hint="eastAsia" w:ascii="宋体" w:hAnsi="宋体" w:eastAsia="宋体" w:cs="宋体"/>
          <w:kern w:val="0"/>
          <w:sz w:val="24"/>
          <w:szCs w:val="24"/>
          <w:lang w:val="en-US" w:eastAsia="zh-CN"/>
        </w:rPr>
        <w:t>8.05</w:t>
      </w:r>
      <w:r>
        <w:rPr>
          <w:rFonts w:hint="eastAsia" w:ascii="宋体" w:hAnsi="宋体" w:eastAsia="宋体" w:cs="宋体"/>
          <w:kern w:val="0"/>
          <w:sz w:val="24"/>
          <w:szCs w:val="24"/>
          <w:lang w:eastAsia="zh-CN"/>
        </w:rPr>
        <w:t>万元，为离休人员</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lang w:eastAsia="zh-CN"/>
        </w:rPr>
        <w:t>人去世而减少的离休费支出；生活补助（遗属费）支出</w:t>
      </w:r>
      <w:r>
        <w:rPr>
          <w:rFonts w:hint="eastAsia" w:ascii="宋体" w:hAnsi="宋体" w:eastAsia="宋体" w:cs="宋体"/>
          <w:kern w:val="0"/>
          <w:sz w:val="24"/>
          <w:szCs w:val="24"/>
          <w:lang w:val="en-US" w:eastAsia="zh-CN"/>
        </w:rPr>
        <w:t>22.60</w:t>
      </w:r>
      <w:r>
        <w:rPr>
          <w:rFonts w:hint="eastAsia" w:ascii="宋体" w:hAnsi="宋体" w:eastAsia="宋体" w:cs="宋体"/>
          <w:kern w:val="0"/>
          <w:sz w:val="24"/>
          <w:szCs w:val="24"/>
          <w:lang w:eastAsia="zh-CN"/>
        </w:rPr>
        <w:t>万元，较年初预算</w:t>
      </w:r>
      <w:r>
        <w:rPr>
          <w:rFonts w:hint="eastAsia" w:ascii="宋体" w:hAnsi="宋体" w:eastAsia="宋体" w:cs="宋体"/>
          <w:kern w:val="0"/>
          <w:sz w:val="24"/>
          <w:szCs w:val="24"/>
          <w:lang w:val="en-US" w:eastAsia="zh-CN"/>
        </w:rPr>
        <w:t>21.86万元</w:t>
      </w:r>
      <w:r>
        <w:rPr>
          <w:rFonts w:hint="eastAsia" w:ascii="宋体" w:hAnsi="宋体" w:eastAsia="宋体" w:cs="宋体"/>
          <w:kern w:val="0"/>
          <w:sz w:val="24"/>
          <w:szCs w:val="24"/>
          <w:lang w:eastAsia="zh-CN"/>
        </w:rPr>
        <w:t>增加支出</w:t>
      </w:r>
      <w:r>
        <w:rPr>
          <w:rFonts w:hint="eastAsia" w:ascii="宋体" w:hAnsi="宋体" w:eastAsia="宋体" w:cs="宋体"/>
          <w:kern w:val="0"/>
          <w:sz w:val="24"/>
          <w:szCs w:val="24"/>
          <w:lang w:val="en-US" w:eastAsia="zh-CN"/>
        </w:rPr>
        <w:t>0.74</w:t>
      </w:r>
      <w:r>
        <w:rPr>
          <w:rFonts w:hint="eastAsia" w:ascii="宋体" w:hAnsi="宋体" w:eastAsia="宋体" w:cs="宋体"/>
          <w:kern w:val="0"/>
          <w:sz w:val="24"/>
          <w:szCs w:val="24"/>
          <w:lang w:eastAsia="zh-CN"/>
        </w:rPr>
        <w:t>万元，主要是本年度</w:t>
      </w:r>
      <w:r>
        <w:rPr>
          <w:rFonts w:hint="eastAsia" w:ascii="宋体" w:hAnsi="宋体" w:eastAsia="宋体" w:cs="宋体"/>
          <w:kern w:val="0"/>
          <w:sz w:val="24"/>
          <w:szCs w:val="24"/>
          <w:lang w:val="en-US" w:eastAsia="zh-CN"/>
        </w:rPr>
        <w:t>遗属人员生活补助调增</w:t>
      </w:r>
      <w:r>
        <w:rPr>
          <w:rFonts w:hint="eastAsia" w:ascii="宋体" w:hAnsi="宋体" w:eastAsia="宋体" w:cs="宋体"/>
          <w:kern w:val="0"/>
          <w:sz w:val="24"/>
          <w:szCs w:val="24"/>
          <w:lang w:eastAsia="zh-CN"/>
        </w:rPr>
        <w:t>；退休费支出</w:t>
      </w:r>
      <w:r>
        <w:rPr>
          <w:rFonts w:hint="eastAsia" w:ascii="宋体" w:hAnsi="宋体" w:eastAsia="宋体" w:cs="宋体"/>
          <w:kern w:val="0"/>
          <w:sz w:val="24"/>
          <w:szCs w:val="24"/>
          <w:lang w:val="en-US" w:eastAsia="zh-CN"/>
        </w:rPr>
        <w:t>22.41万元，较年初预算23.92万元减少支出1.51万元，主要是退休人员3人去世而减少的退休费支出。</w:t>
      </w:r>
    </w:p>
    <w:p>
      <w:pPr>
        <w:numPr>
          <w:ilvl w:val="0"/>
          <w:numId w:val="0"/>
        </w:numPr>
        <w:ind w:firstLine="420" w:firstLineChars="200"/>
        <w:rPr>
          <w:rFonts w:hint="default" w:ascii="宋体" w:hAnsi="宋体" w:eastAsia="宋体" w:cs="宋体"/>
          <w:kern w:val="0"/>
          <w:sz w:val="24"/>
          <w:szCs w:val="24"/>
          <w:lang w:val="en-US" w:eastAsia="zh-CN"/>
        </w:rPr>
      </w:pPr>
      <w:r>
        <w:drawing>
          <wp:inline distT="0" distB="0" distL="114300" distR="114300">
            <wp:extent cx="5269230" cy="2503170"/>
            <wp:effectExtent l="4445" t="4445" r="22225" b="6985"/>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9"/>
        <w:ind w:left="0" w:leftChars="0" w:firstLine="482" w:firstLineChars="200"/>
        <w:rPr>
          <w:rFonts w:hint="default"/>
          <w:lang w:val="en-US" w:eastAsia="zh-CN"/>
        </w:rPr>
      </w:pPr>
      <w:r>
        <w:rPr>
          <w:rFonts w:hint="eastAsia" w:ascii="宋体" w:hAnsi="宋体" w:eastAsia="宋体" w:cs="宋体"/>
          <w:b/>
          <w:bCs/>
          <w:kern w:val="0"/>
          <w:sz w:val="24"/>
          <w:szCs w:val="24"/>
          <w:lang w:val="en-US" w:eastAsia="zh-CN" w:bidi="ar-SA"/>
        </w:rPr>
        <w:t>④项目支出：</w:t>
      </w:r>
      <w:r>
        <w:rPr>
          <w:rFonts w:hint="eastAsia" w:ascii="宋体" w:hAnsi="宋体" w:eastAsia="宋体" w:cs="宋体"/>
          <w:kern w:val="0"/>
          <w:sz w:val="24"/>
          <w:szCs w:val="24"/>
          <w:lang w:val="en-US" w:eastAsia="zh-CN"/>
        </w:rPr>
        <w:t>本年度</w:t>
      </w:r>
      <w:r>
        <w:rPr>
          <w:rFonts w:ascii="宋体" w:hAnsi="宋体" w:eastAsia="宋体" w:cs="宋体"/>
          <w:kern w:val="0"/>
          <w:sz w:val="24"/>
          <w:szCs w:val="24"/>
        </w:rPr>
        <w:t>项目支出决算数为</w:t>
      </w:r>
      <w:r>
        <w:rPr>
          <w:rFonts w:ascii="Times New Roman" w:hAnsi="Times New Roman" w:eastAsia="Times New Roman" w:cs="Times New Roman"/>
          <w:kern w:val="0"/>
          <w:sz w:val="24"/>
          <w:szCs w:val="24"/>
        </w:rPr>
        <w:t>3,629.18</w:t>
      </w:r>
      <w:r>
        <w:rPr>
          <w:rFonts w:ascii="宋体" w:hAnsi="宋体" w:eastAsia="宋体" w:cs="宋体"/>
          <w:kern w:val="0"/>
          <w:sz w:val="24"/>
          <w:szCs w:val="24"/>
        </w:rPr>
        <w:t>万元，</w:t>
      </w:r>
      <w:r>
        <w:rPr>
          <w:rFonts w:hint="eastAsia" w:ascii="宋体" w:hAnsi="宋体" w:eastAsia="宋体" w:cs="宋体"/>
          <w:kern w:val="0"/>
          <w:sz w:val="24"/>
          <w:szCs w:val="24"/>
          <w:lang w:eastAsia="zh-CN"/>
        </w:rPr>
        <w:t>较年初预算</w:t>
      </w:r>
      <w:r>
        <w:rPr>
          <w:rFonts w:hint="eastAsia" w:ascii="宋体" w:hAnsi="宋体" w:eastAsia="宋体" w:cs="宋体"/>
          <w:kern w:val="0"/>
          <w:sz w:val="24"/>
          <w:szCs w:val="24"/>
          <w:lang w:val="en-US" w:eastAsia="zh-CN"/>
        </w:rPr>
        <w:t>16万元增加支出36,13.18万元。</w:t>
      </w:r>
    </w:p>
    <w:p>
      <w:pPr>
        <w:widowControl/>
        <w:numPr>
          <w:ilvl w:val="0"/>
          <w:numId w:val="1"/>
        </w:numPr>
        <w:spacing w:before="240" w:after="240"/>
        <w:ind w:firstLine="480" w:firstLineChars="200"/>
        <w:jc w:val="left"/>
        <w:rPr>
          <w:rFonts w:ascii="宋体" w:hAnsi="宋体" w:eastAsia="宋体" w:cs="宋体"/>
          <w:kern w:val="0"/>
          <w:sz w:val="24"/>
          <w:szCs w:val="24"/>
        </w:rPr>
      </w:pPr>
      <w:r>
        <w:rPr>
          <w:rFonts w:ascii="宋体" w:hAnsi="宋体" w:eastAsia="宋体" w:cs="宋体"/>
          <w:kern w:val="0"/>
          <w:sz w:val="24"/>
          <w:szCs w:val="24"/>
        </w:rPr>
        <w:t>差异原因分析。差异较大的应分析到具体收入支出功能科目和具体单位。</w:t>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项目支出：本年度项目支出</w:t>
      </w:r>
      <w:r>
        <w:rPr>
          <w:rFonts w:ascii="宋体" w:hAnsi="宋体" w:eastAsia="宋体" w:cs="宋体"/>
          <w:kern w:val="0"/>
          <w:sz w:val="24"/>
          <w:szCs w:val="24"/>
        </w:rPr>
        <w:t>3,629.18</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16万元增加支出36,13.18万元。</w:t>
      </w:r>
      <w:r>
        <w:rPr>
          <w:rFonts w:hint="eastAsia" w:ascii="宋体" w:hAnsi="宋体" w:eastAsia="宋体" w:cs="宋体"/>
          <w:kern w:val="0"/>
          <w:sz w:val="24"/>
          <w:szCs w:val="24"/>
        </w:rPr>
        <w:t>主要原因如下：</w:t>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本年度追加并支付一般性公共财政拨款项目支出</w:t>
      </w:r>
      <w:r>
        <w:rPr>
          <w:rFonts w:hint="eastAsia" w:ascii="宋体" w:hAnsi="宋体" w:eastAsia="宋体" w:cs="宋体"/>
          <w:kern w:val="0"/>
          <w:sz w:val="24"/>
          <w:szCs w:val="24"/>
          <w:lang w:val="en-US" w:eastAsia="zh-CN"/>
        </w:rPr>
        <w:t>36,13.18</w:t>
      </w:r>
      <w:r>
        <w:rPr>
          <w:rFonts w:hint="eastAsia" w:ascii="宋体" w:hAnsi="宋体" w:eastAsia="宋体" w:cs="宋体"/>
          <w:kern w:val="0"/>
          <w:sz w:val="24"/>
          <w:szCs w:val="24"/>
        </w:rPr>
        <w:t>万元。</w:t>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①其他商业服务业等支出（2169999）：支付奈曼旗青山商城天井钢结构屋面工程建设项目</w:t>
      </w:r>
      <w:r>
        <w:rPr>
          <w:rFonts w:hint="eastAsia" w:ascii="宋体" w:hAnsi="宋体" w:eastAsia="宋体" w:cs="宋体"/>
          <w:kern w:val="0"/>
          <w:sz w:val="24"/>
          <w:szCs w:val="24"/>
          <w:lang w:val="en-US" w:eastAsia="zh-CN"/>
        </w:rPr>
        <w:t>166.16</w:t>
      </w:r>
      <w:r>
        <w:rPr>
          <w:rFonts w:hint="eastAsia" w:ascii="宋体" w:hAnsi="宋体" w:eastAsia="宋体" w:cs="宋体"/>
          <w:kern w:val="0"/>
          <w:sz w:val="24"/>
          <w:szCs w:val="24"/>
        </w:rPr>
        <w:t>万元；</w:t>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②其他商业服务业等支出（2169999）：支付</w:t>
      </w:r>
      <w:r>
        <w:rPr>
          <w:rFonts w:hint="eastAsia" w:ascii="宋体" w:hAnsi="宋体" w:eastAsia="宋体" w:cs="宋体"/>
          <w:kern w:val="0"/>
          <w:sz w:val="24"/>
          <w:szCs w:val="24"/>
          <w:lang w:val="en-US" w:eastAsia="zh-CN"/>
        </w:rPr>
        <w:t>2021-2022年度</w:t>
      </w:r>
      <w:r>
        <w:rPr>
          <w:rFonts w:hint="eastAsia" w:ascii="宋体" w:hAnsi="宋体" w:eastAsia="宋体" w:cs="宋体"/>
          <w:kern w:val="0"/>
          <w:sz w:val="24"/>
          <w:szCs w:val="24"/>
        </w:rPr>
        <w:t>奈曼旗限额以上商贸流通企业入库奖励资金</w:t>
      </w:r>
      <w:r>
        <w:rPr>
          <w:rFonts w:hint="eastAsia" w:ascii="宋体" w:hAnsi="宋体" w:eastAsia="宋体" w:cs="宋体"/>
          <w:kern w:val="0"/>
          <w:sz w:val="24"/>
          <w:szCs w:val="24"/>
          <w:lang w:val="en-US" w:eastAsia="zh-CN"/>
        </w:rPr>
        <w:t>24.00</w:t>
      </w:r>
      <w:r>
        <w:rPr>
          <w:rFonts w:hint="eastAsia" w:ascii="宋体" w:hAnsi="宋体" w:eastAsia="宋体" w:cs="宋体"/>
          <w:kern w:val="0"/>
          <w:sz w:val="24"/>
          <w:szCs w:val="24"/>
        </w:rPr>
        <w:t>万元；</w:t>
      </w:r>
    </w:p>
    <w:p>
      <w:pPr>
        <w:pStyle w:val="9"/>
        <w:ind w:left="0" w:leftChars="0"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③其他商业服务业等支出（2169999）：支付电子商务进农村综合示范县项目补贴资金</w:t>
      </w:r>
      <w:r>
        <w:rPr>
          <w:rFonts w:hint="eastAsia" w:ascii="宋体" w:hAnsi="宋体" w:eastAsia="宋体" w:cs="宋体"/>
          <w:kern w:val="0"/>
          <w:sz w:val="24"/>
          <w:szCs w:val="24"/>
          <w:lang w:val="en-US" w:eastAsia="zh-CN"/>
        </w:rPr>
        <w:t>187.15</w:t>
      </w:r>
      <w:r>
        <w:rPr>
          <w:rFonts w:hint="eastAsia" w:ascii="宋体" w:hAnsi="宋体" w:eastAsia="宋体" w:cs="宋体"/>
          <w:kern w:val="0"/>
          <w:sz w:val="24"/>
          <w:szCs w:val="24"/>
        </w:rPr>
        <w:t>万元；</w:t>
      </w:r>
      <w:r>
        <w:rPr>
          <w:rFonts w:hint="eastAsia" w:ascii="宋体" w:hAnsi="宋体" w:eastAsia="宋体" w:cs="宋体"/>
          <w:kern w:val="0"/>
          <w:sz w:val="24"/>
          <w:szCs w:val="24"/>
          <w:lang w:val="en-US" w:eastAsia="zh-CN"/>
        </w:rPr>
        <w:tab/>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④其他商业服务业等支出（2169999）：支付2018年服务业发展专项资金（电子商务综合示范县项目补贴资金）115万元；</w:t>
      </w:r>
    </w:p>
    <w:p>
      <w:pPr>
        <w:ind w:firstLine="480" w:firstLineChars="200"/>
        <w:rPr>
          <w:rFonts w:hint="default"/>
          <w:lang w:val="en-US" w:eastAsia="zh-CN"/>
        </w:rPr>
      </w:pPr>
      <w:r>
        <w:rPr>
          <w:rFonts w:hint="eastAsia" w:ascii="宋体" w:hAnsi="宋体" w:eastAsia="宋体" w:cs="宋体"/>
          <w:kern w:val="0"/>
          <w:sz w:val="24"/>
          <w:szCs w:val="24"/>
        </w:rPr>
        <w:t>⑤其他商业服务业等支出（2169999）：支付2023年惠民购车节活动现场布置费用</w:t>
      </w:r>
      <w:r>
        <w:rPr>
          <w:rFonts w:hint="eastAsia" w:ascii="宋体" w:hAnsi="宋体" w:eastAsia="宋体" w:cs="宋体"/>
          <w:kern w:val="0"/>
          <w:sz w:val="24"/>
          <w:szCs w:val="24"/>
          <w:lang w:val="en-US" w:eastAsia="zh-CN"/>
        </w:rPr>
        <w:t>3.50万元；</w:t>
      </w:r>
    </w:p>
    <w:p>
      <w:pPr>
        <w:pStyle w:val="8"/>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⑥其他商业服务业等支出（2169999）：</w:t>
      </w:r>
      <w:r>
        <w:rPr>
          <w:rFonts w:hint="eastAsia" w:hAnsi="宋体" w:eastAsia="宋体" w:cs="宋体"/>
          <w:kern w:val="0"/>
          <w:sz w:val="24"/>
          <w:szCs w:val="24"/>
          <w:lang w:eastAsia="zh-CN"/>
        </w:rPr>
        <w:t>支付电子商务进农村综合示范县项目终验费用</w:t>
      </w:r>
      <w:r>
        <w:rPr>
          <w:rFonts w:hint="eastAsia" w:hAnsi="宋体" w:eastAsia="宋体" w:cs="宋体"/>
          <w:kern w:val="0"/>
          <w:sz w:val="24"/>
          <w:szCs w:val="24"/>
          <w:lang w:val="en-US" w:eastAsia="zh-CN"/>
        </w:rPr>
        <w:t>8.00万元；</w:t>
      </w:r>
    </w:p>
    <w:p>
      <w:pPr>
        <w:pStyle w:val="8"/>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⑦其他商业服务业等支出（2169999）：</w:t>
      </w:r>
      <w:r>
        <w:rPr>
          <w:rFonts w:hint="eastAsia" w:hAnsi="宋体" w:eastAsia="宋体" w:cs="宋体"/>
          <w:kern w:val="0"/>
          <w:sz w:val="24"/>
          <w:szCs w:val="24"/>
          <w:lang w:eastAsia="zh-CN"/>
        </w:rPr>
        <w:t>支付“金沙之城.品味奈曼”美食文化节活动现场布置费用</w:t>
      </w:r>
      <w:r>
        <w:rPr>
          <w:rFonts w:hint="eastAsia" w:hAnsi="宋体" w:eastAsia="宋体" w:cs="宋体"/>
          <w:kern w:val="0"/>
          <w:sz w:val="24"/>
          <w:szCs w:val="24"/>
          <w:lang w:val="en-US" w:eastAsia="zh-CN"/>
        </w:rPr>
        <w:t>20.00万元；</w:t>
      </w:r>
    </w:p>
    <w:p>
      <w:pPr>
        <w:pStyle w:val="8"/>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⑧其他商业服务业等支出（2169999）：</w:t>
      </w:r>
      <w:r>
        <w:rPr>
          <w:rFonts w:hint="eastAsia" w:hAnsi="宋体" w:eastAsia="宋体" w:cs="宋体"/>
          <w:kern w:val="0"/>
          <w:sz w:val="24"/>
          <w:szCs w:val="24"/>
          <w:lang w:eastAsia="zh-CN"/>
        </w:rPr>
        <w:t>支付奈曼旗物流业发展规划编制预算资金</w:t>
      </w:r>
      <w:r>
        <w:rPr>
          <w:rFonts w:hint="eastAsia" w:hAnsi="宋体" w:eastAsia="宋体" w:cs="宋体"/>
          <w:kern w:val="0"/>
          <w:sz w:val="24"/>
          <w:szCs w:val="24"/>
          <w:lang w:val="en-US" w:eastAsia="zh-CN"/>
        </w:rPr>
        <w:t>58.50万元；</w:t>
      </w:r>
    </w:p>
    <w:p>
      <w:pPr>
        <w:pStyle w:val="8"/>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rPr>
        <w:t>⑨其他商业服务业等支出（2169999）：</w:t>
      </w:r>
      <w:r>
        <w:rPr>
          <w:rFonts w:hint="eastAsia" w:hAnsi="宋体" w:eastAsia="宋体" w:cs="宋体"/>
          <w:kern w:val="0"/>
          <w:sz w:val="24"/>
          <w:szCs w:val="24"/>
          <w:lang w:eastAsia="zh-CN"/>
        </w:rPr>
        <w:t>支付2023年电子消费券</w:t>
      </w:r>
      <w:r>
        <w:rPr>
          <w:rFonts w:hint="eastAsia" w:hAnsi="宋体" w:eastAsia="宋体" w:cs="宋体"/>
          <w:kern w:val="0"/>
          <w:sz w:val="24"/>
          <w:szCs w:val="24"/>
          <w:lang w:val="en-US" w:eastAsia="zh-CN"/>
        </w:rPr>
        <w:t>30.00万元；</w:t>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⑩其他目标价格补贴（2130999）：支付2022年目标价格补贴核查经费1万元；</w:t>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⑪其他商业流通事务支出（2160299）：支付202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年内贸流通服务业发展专项资金</w:t>
      </w:r>
      <w:r>
        <w:rPr>
          <w:rFonts w:hint="eastAsia" w:ascii="宋体" w:hAnsi="宋体" w:eastAsia="宋体" w:cs="宋体"/>
          <w:kern w:val="0"/>
          <w:sz w:val="24"/>
          <w:szCs w:val="24"/>
          <w:lang w:val="en-US" w:eastAsia="zh-CN"/>
        </w:rPr>
        <w:t>2.85</w:t>
      </w:r>
      <w:r>
        <w:rPr>
          <w:rFonts w:hint="eastAsia" w:ascii="宋体" w:hAnsi="宋体" w:eastAsia="宋体" w:cs="宋体"/>
          <w:kern w:val="0"/>
          <w:sz w:val="24"/>
          <w:szCs w:val="24"/>
        </w:rPr>
        <w:t>万元；</w:t>
      </w:r>
    </w:p>
    <w:p>
      <w:pPr>
        <w:pStyle w:val="9"/>
        <w:ind w:left="0" w:leftChars="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⑿其他涉外发展服务支出（2160699）：支付</w:t>
      </w:r>
      <w:r>
        <w:rPr>
          <w:rFonts w:hint="eastAsia" w:ascii="宋体" w:hAnsi="宋体" w:eastAsia="宋体" w:cs="宋体"/>
          <w:kern w:val="0"/>
          <w:sz w:val="24"/>
          <w:szCs w:val="24"/>
          <w:lang w:val="en-US" w:eastAsia="zh-CN"/>
        </w:rPr>
        <w:t>2022-2023年度</w:t>
      </w:r>
      <w:r>
        <w:rPr>
          <w:rFonts w:hint="eastAsia" w:ascii="宋体" w:hAnsi="宋体" w:eastAsia="宋体" w:cs="宋体"/>
          <w:kern w:val="0"/>
          <w:sz w:val="24"/>
          <w:szCs w:val="24"/>
        </w:rPr>
        <w:t>外经贸发展专项资金</w:t>
      </w:r>
      <w:r>
        <w:rPr>
          <w:rFonts w:hint="eastAsia" w:ascii="宋体" w:hAnsi="宋体" w:eastAsia="宋体" w:cs="宋体"/>
          <w:kern w:val="0"/>
          <w:sz w:val="24"/>
          <w:szCs w:val="24"/>
          <w:lang w:val="en-US" w:eastAsia="zh-CN"/>
        </w:rPr>
        <w:t>480.00</w:t>
      </w:r>
      <w:r>
        <w:rPr>
          <w:rFonts w:hint="eastAsia" w:ascii="宋体" w:hAnsi="宋体" w:eastAsia="宋体" w:cs="宋体"/>
          <w:kern w:val="0"/>
          <w:sz w:val="24"/>
          <w:szCs w:val="24"/>
        </w:rPr>
        <w:t>万元。</w:t>
      </w:r>
    </w:p>
    <w:p>
      <w:pPr>
        <w:ind w:firstLine="480" w:firstLineChars="200"/>
        <w:rPr>
          <w:rFonts w:hint="default" w:asciiTheme="minorEastAsia" w:hAnsiTheme="minorEastAsia" w:eastAsiaTheme="minorEastAsia" w:cstheme="minorEastAsia"/>
          <w:lang w:val="en-US"/>
        </w:rPr>
      </w:pPr>
      <w:r>
        <w:rPr>
          <w:rFonts w:hint="eastAsia" w:ascii="宋体" w:hAnsi="宋体" w:eastAsia="宋体" w:cs="宋体"/>
          <w:kern w:val="0"/>
          <w:sz w:val="24"/>
          <w:szCs w:val="24"/>
          <w:lang w:val="en-US" w:eastAsia="zh-CN" w:bidi="ar-SA"/>
        </w:rPr>
        <w:t>⒀其他地方自行试点项目收益专项债券收入安排的支出（2290402）：支付通辽市奈曼旗物流园区基础设施建设项目2,648.04万元。</w:t>
      </w:r>
    </w:p>
    <w:p>
      <w:pPr>
        <w:pStyle w:val="8"/>
        <w:numPr>
          <w:ilvl w:val="0"/>
          <w:numId w:val="0"/>
        </w:numPr>
        <w:ind w:left="780" w:leftChars="0"/>
      </w:pPr>
    </w:p>
    <w:p>
      <w:pPr>
        <w:pStyle w:val="6"/>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2</w:t>
      </w:r>
      <w:r>
        <w:rPr>
          <w:rFonts w:ascii="宋体" w:hAnsi="宋体" w:eastAsia="宋体" w:cs="宋体"/>
          <w:b/>
          <w:bCs/>
          <w:i w:val="0"/>
          <w:iCs w:val="0"/>
          <w:color w:val="auto"/>
          <w:kern w:val="0"/>
          <w:sz w:val="24"/>
          <w:szCs w:val="24"/>
        </w:rPr>
        <w:t>．收入支出结构分析。</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1</w:t>
      </w:r>
      <w:r>
        <w:rPr>
          <w:rFonts w:ascii="宋体" w:hAnsi="宋体" w:eastAsia="宋体" w:cs="宋体"/>
          <w:kern w:val="0"/>
          <w:sz w:val="24"/>
          <w:szCs w:val="24"/>
        </w:rPr>
        <w:t>）各项收入占总收入的比重，各项支出占总支出的比重（可分别制作饼状图）。</w:t>
      </w: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本年度收入（支出）3,964.63万元，各项收入（支出）占比如下：</w:t>
      </w:r>
    </w:p>
    <w:p>
      <w:pPr>
        <w:ind w:firstLine="480" w:firstLineChars="200"/>
        <w:rPr>
          <w:rFonts w:hint="eastAsia" w:ascii="宋体" w:hAnsi="宋体" w:eastAsia="宋体" w:cs="宋体"/>
          <w:kern w:val="0"/>
          <w:sz w:val="24"/>
          <w:szCs w:val="24"/>
          <w:lang w:val="en-US" w:eastAsia="zh-CN" w:bidi="ar-SA"/>
        </w:rPr>
      </w:pPr>
      <w:r>
        <w:rPr>
          <w:rFonts w:hint="default" w:ascii="Calibri" w:hAnsi="Calibri" w:eastAsia="宋体" w:cs="Calibri"/>
          <w:kern w:val="0"/>
          <w:sz w:val="24"/>
          <w:szCs w:val="24"/>
          <w:lang w:val="en-US" w:eastAsia="zh-CN" w:bidi="ar-SA"/>
        </w:rPr>
        <w:t>①</w:t>
      </w:r>
      <w:r>
        <w:rPr>
          <w:rFonts w:hint="eastAsia" w:ascii="宋体" w:hAnsi="宋体" w:eastAsia="宋体" w:cs="宋体"/>
          <w:kern w:val="0"/>
          <w:sz w:val="24"/>
          <w:szCs w:val="24"/>
          <w:lang w:val="en-US" w:eastAsia="zh-CN" w:bidi="ar-SA"/>
        </w:rPr>
        <w:t>资金来源划分：本年度财政拨款收入（支出）3,964.63万元，占100%；</w:t>
      </w: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drawing>
          <wp:inline distT="0" distB="0" distL="114300" distR="114300">
            <wp:extent cx="3561080" cy="1922145"/>
            <wp:effectExtent l="4445" t="4445" r="15875" b="1651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r>
        <w:rPr>
          <w:rFonts w:hint="default" w:ascii="Calibri" w:hAnsi="Calibri" w:eastAsia="宋体" w:cs="Calibri"/>
          <w:kern w:val="0"/>
          <w:sz w:val="24"/>
          <w:szCs w:val="24"/>
          <w:lang w:val="en-US" w:eastAsia="zh-CN" w:bidi="ar-SA"/>
        </w:rPr>
        <w:t>②</w:t>
      </w:r>
      <w:r>
        <w:rPr>
          <w:rFonts w:hint="eastAsia" w:ascii="宋体" w:hAnsi="宋体" w:eastAsia="宋体" w:cs="宋体"/>
          <w:kern w:val="0"/>
          <w:sz w:val="24"/>
          <w:szCs w:val="24"/>
          <w:lang w:val="en-US" w:eastAsia="zh-CN" w:bidi="ar-SA"/>
        </w:rPr>
        <w:t>按支出性质划分，基本支出335.44万元，占8.46%，项目支出3,629.18万元，占91.54%。</w:t>
      </w: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drawing>
          <wp:anchor distT="0" distB="0" distL="114300" distR="114300" simplePos="0" relativeHeight="251659264" behindDoc="0" locked="0" layoutInCell="1" allowOverlap="1">
            <wp:simplePos x="0" y="0"/>
            <wp:positionH relativeFrom="column">
              <wp:posOffset>363855</wp:posOffset>
            </wp:positionH>
            <wp:positionV relativeFrom="paragraph">
              <wp:posOffset>635</wp:posOffset>
            </wp:positionV>
            <wp:extent cx="3352800" cy="1883410"/>
            <wp:effectExtent l="5080" t="4445" r="13970" b="17145"/>
            <wp:wrapNone/>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rPr>
          <w:rFonts w:hint="eastAsia" w:ascii="宋体" w:hAnsi="宋体" w:eastAsia="宋体" w:cs="宋体"/>
          <w:kern w:val="0"/>
          <w:sz w:val="24"/>
          <w:szCs w:val="24"/>
          <w:lang w:val="en-US" w:eastAsia="zh-CN" w:bidi="ar-SA"/>
        </w:rPr>
      </w:pPr>
    </w:p>
    <w:p>
      <w:pPr>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r>
        <w:rPr>
          <w:rFonts w:hint="default" w:ascii="Calibri" w:hAnsi="Calibri" w:eastAsia="宋体" w:cs="Calibri"/>
          <w:kern w:val="0"/>
          <w:sz w:val="24"/>
          <w:szCs w:val="24"/>
          <w:lang w:val="en-US" w:eastAsia="zh-CN" w:bidi="ar-SA"/>
        </w:rPr>
        <w:t>③</w:t>
      </w:r>
      <w:r>
        <w:rPr>
          <w:rFonts w:hint="eastAsia" w:ascii="宋体" w:hAnsi="宋体" w:eastAsia="宋体" w:cs="宋体"/>
          <w:kern w:val="0"/>
          <w:sz w:val="24"/>
          <w:szCs w:val="24"/>
          <w:lang w:val="en-US" w:eastAsia="zh-CN" w:bidi="ar-SA"/>
        </w:rPr>
        <w:t>按支出经济分类：工资福利支出251.46万元，占6.34%；商品和服务支出126.58万元，占3.19%；对个人和家庭的补助支出51.24万元，占1.29%；对企业补助887.30万元，占22.38%；资本性支出2648.04，占66.79%。</w:t>
      </w: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drawing>
          <wp:anchor distT="0" distB="0" distL="114300" distR="114300" simplePos="0" relativeHeight="251660288" behindDoc="0" locked="0" layoutInCell="1" allowOverlap="1">
            <wp:simplePos x="0" y="0"/>
            <wp:positionH relativeFrom="column">
              <wp:posOffset>231775</wp:posOffset>
            </wp:positionH>
            <wp:positionV relativeFrom="paragraph">
              <wp:posOffset>126365</wp:posOffset>
            </wp:positionV>
            <wp:extent cx="4572000" cy="2743200"/>
            <wp:effectExtent l="4445" t="4445" r="14605" b="14605"/>
            <wp:wrapNone/>
            <wp:docPr id="7"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rPr>
          <w:rFonts w:hint="eastAsia" w:ascii="宋体" w:hAnsi="宋体" w:eastAsia="宋体" w:cs="宋体"/>
          <w:kern w:val="0"/>
          <w:sz w:val="24"/>
          <w:szCs w:val="24"/>
          <w:lang w:val="en-US" w:eastAsia="zh-CN" w:bidi="ar-SA"/>
        </w:rPr>
      </w:pPr>
    </w:p>
    <w:p>
      <w:pPr>
        <w:ind w:firstLine="480" w:firstLineChars="200"/>
        <w:rPr>
          <w:rFonts w:hint="eastAsia" w:ascii="宋体" w:hAnsi="宋体" w:eastAsia="宋体" w:cs="宋体"/>
          <w:kern w:val="0"/>
          <w:sz w:val="24"/>
          <w:szCs w:val="24"/>
          <w:lang w:val="en-US" w:eastAsia="zh-CN" w:bidi="ar-SA"/>
        </w:rPr>
      </w:pPr>
    </w:p>
    <w:p>
      <w:pPr>
        <w:pStyle w:val="8"/>
      </w:pPr>
    </w:p>
    <w:p>
      <w:pPr>
        <w:widowControl/>
        <w:numPr>
          <w:ilvl w:val="0"/>
          <w:numId w:val="2"/>
        </w:numPr>
        <w:spacing w:before="240" w:after="240"/>
        <w:ind w:left="0" w:leftChars="0" w:firstLine="480" w:firstLineChars="200"/>
        <w:jc w:val="left"/>
        <w:rPr>
          <w:rFonts w:ascii="Times New Roman" w:hAnsi="Times New Roman" w:eastAsia="Times New Roman" w:cs="Times New Roman"/>
          <w:kern w:val="0"/>
          <w:sz w:val="24"/>
          <w:szCs w:val="24"/>
        </w:rPr>
      </w:pPr>
      <w:r>
        <w:rPr>
          <w:rFonts w:ascii="宋体" w:hAnsi="宋体" w:eastAsia="宋体" w:cs="宋体"/>
          <w:kern w:val="0"/>
          <w:sz w:val="24"/>
          <w:szCs w:val="24"/>
        </w:rPr>
        <w:t>收入支出与上年度对比情况及原因分析</w:t>
      </w:r>
      <w:r>
        <w:rPr>
          <w:rFonts w:ascii="Times New Roman" w:hAnsi="Times New Roman" w:eastAsia="Times New Roman" w:cs="Times New Roman"/>
          <w:kern w:val="0"/>
          <w:sz w:val="24"/>
          <w:szCs w:val="24"/>
        </w:rPr>
        <w:t>(</w:t>
      </w:r>
      <w:r>
        <w:rPr>
          <w:rFonts w:ascii="宋体" w:hAnsi="宋体" w:eastAsia="宋体" w:cs="宋体"/>
          <w:kern w:val="0"/>
          <w:sz w:val="24"/>
          <w:szCs w:val="24"/>
        </w:rPr>
        <w:t>可用柱形图或折线图</w:t>
      </w:r>
      <w:r>
        <w:rPr>
          <w:rFonts w:ascii="Times New Roman" w:hAnsi="Times New Roman" w:eastAsia="Times New Roman" w:cs="Times New Roman"/>
          <w:kern w:val="0"/>
          <w:sz w:val="24"/>
          <w:szCs w:val="24"/>
        </w:rPr>
        <w:t>)</w:t>
      </w:r>
      <w:r>
        <w:rPr>
          <w:rFonts w:ascii="宋体" w:hAnsi="宋体" w:eastAsia="宋体" w:cs="宋体"/>
          <w:kern w:val="0"/>
          <w:sz w:val="24"/>
          <w:szCs w:val="24"/>
        </w:rPr>
        <w:t>。</w:t>
      </w:r>
    </w:p>
    <w:p>
      <w:pPr>
        <w:widowControl/>
        <w:numPr>
          <w:ilvl w:val="0"/>
          <w:numId w:val="0"/>
        </w:numPr>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本年度收入（支出）</w:t>
      </w:r>
      <w:r>
        <w:rPr>
          <w:rFonts w:hint="eastAsia" w:ascii="宋体" w:hAnsi="宋体" w:eastAsia="宋体" w:cs="宋体"/>
          <w:kern w:val="0"/>
          <w:sz w:val="24"/>
          <w:szCs w:val="24"/>
          <w:lang w:val="en-US" w:eastAsia="zh-CN"/>
        </w:rPr>
        <w:t>3,964.63</w:t>
      </w:r>
      <w:r>
        <w:rPr>
          <w:rFonts w:hint="eastAsia" w:ascii="宋体" w:hAnsi="宋体" w:eastAsia="宋体" w:cs="宋体"/>
          <w:kern w:val="0"/>
          <w:sz w:val="24"/>
          <w:szCs w:val="24"/>
        </w:rPr>
        <w:t>万元，其中</w:t>
      </w:r>
      <w:r>
        <w:rPr>
          <w:rFonts w:hint="eastAsia" w:ascii="宋体" w:hAnsi="宋体" w:eastAsia="宋体" w:cs="宋体"/>
          <w:kern w:val="0"/>
          <w:sz w:val="24"/>
          <w:szCs w:val="24"/>
          <w:lang w:val="en-US" w:eastAsia="zh-CN"/>
        </w:rPr>
        <w:t>基本支出335.44万元，项目支出3,629.18万元</w:t>
      </w:r>
      <w:r>
        <w:rPr>
          <w:rFonts w:hint="eastAsia" w:ascii="宋体" w:hAnsi="宋体" w:eastAsia="宋体" w:cs="宋体"/>
          <w:kern w:val="0"/>
          <w:sz w:val="24"/>
          <w:szCs w:val="24"/>
        </w:rPr>
        <w:t>，较上年总支出（收入）</w:t>
      </w:r>
      <w:r>
        <w:rPr>
          <w:rFonts w:hint="eastAsia" w:ascii="宋体" w:hAnsi="宋体" w:eastAsia="宋体" w:cs="宋体"/>
          <w:kern w:val="0"/>
          <w:sz w:val="24"/>
          <w:szCs w:val="24"/>
          <w:lang w:val="en-US" w:eastAsia="zh-CN"/>
        </w:rPr>
        <w:t>1,044.48</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增加</w:t>
      </w:r>
      <w:r>
        <w:rPr>
          <w:rFonts w:hint="eastAsia" w:ascii="宋体" w:hAnsi="宋体" w:eastAsia="宋体" w:cs="宋体"/>
          <w:kern w:val="0"/>
          <w:sz w:val="24"/>
          <w:szCs w:val="24"/>
        </w:rPr>
        <w:t>收入（支出）</w:t>
      </w:r>
      <w:r>
        <w:rPr>
          <w:rFonts w:hint="eastAsia" w:ascii="宋体" w:hAnsi="宋体" w:eastAsia="宋体" w:cs="宋体"/>
          <w:kern w:val="0"/>
          <w:sz w:val="24"/>
          <w:szCs w:val="24"/>
          <w:lang w:val="en-US" w:eastAsia="zh-CN"/>
        </w:rPr>
        <w:t>2920.15</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增长</w:t>
      </w:r>
      <w:r>
        <w:rPr>
          <w:rFonts w:hint="eastAsia" w:ascii="宋体" w:hAnsi="宋体" w:eastAsia="宋体" w:cs="宋体"/>
          <w:kern w:val="0"/>
          <w:sz w:val="24"/>
          <w:szCs w:val="24"/>
          <w:lang w:val="en-US" w:eastAsia="zh-CN"/>
        </w:rPr>
        <w:t>279.58%</w:t>
      </w:r>
      <w:r>
        <w:rPr>
          <w:rFonts w:hint="eastAsia" w:ascii="宋体" w:hAnsi="宋体" w:eastAsia="宋体" w:cs="宋体"/>
          <w:kern w:val="0"/>
          <w:sz w:val="24"/>
          <w:szCs w:val="24"/>
        </w:rPr>
        <w:t>。</w:t>
      </w:r>
    </w:p>
    <w:p>
      <w:pPr>
        <w:rPr>
          <w:rFonts w:hint="eastAsia" w:ascii="仿宋_GB2312" w:hAnsi="仿宋" w:eastAsia="仿宋_GB2312"/>
          <w:sz w:val="32"/>
          <w:szCs w:val="32"/>
        </w:rPr>
      </w:pPr>
      <w:r>
        <w:drawing>
          <wp:inline distT="0" distB="0" distL="114300" distR="114300">
            <wp:extent cx="5392420" cy="2719705"/>
            <wp:effectExtent l="4445" t="4445" r="13335" b="1905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numPr>
          <w:ilvl w:val="0"/>
          <w:numId w:val="0"/>
        </w:numPr>
        <w:spacing w:before="240" w:after="240"/>
        <w:ind w:leftChars="200"/>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增减原因如下：</w:t>
      </w:r>
    </w:p>
    <w:p>
      <w:pPr>
        <w:widowControl/>
        <w:spacing w:before="240" w:after="240"/>
        <w:ind w:firstLine="482" w:firstLineChars="200"/>
        <w:jc w:val="left"/>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①工资福利支出：</w:t>
      </w:r>
      <w:r>
        <w:rPr>
          <w:rFonts w:hint="eastAsia" w:ascii="宋体" w:hAnsi="宋体" w:eastAsia="宋体" w:cs="宋体"/>
          <w:color w:val="auto"/>
          <w:kern w:val="0"/>
          <w:sz w:val="24"/>
          <w:szCs w:val="24"/>
        </w:rPr>
        <w:t>本年度工资福利支出</w:t>
      </w:r>
      <w:r>
        <w:rPr>
          <w:rFonts w:hint="eastAsia" w:ascii="宋体" w:hAnsi="宋体" w:eastAsia="宋体" w:cs="宋体"/>
          <w:color w:val="auto"/>
          <w:kern w:val="0"/>
          <w:sz w:val="24"/>
          <w:szCs w:val="24"/>
          <w:lang w:val="en-US" w:eastAsia="zh-CN"/>
        </w:rPr>
        <w:t>251.46</w:t>
      </w:r>
      <w:r>
        <w:rPr>
          <w:rFonts w:hint="eastAsia" w:ascii="宋体" w:hAnsi="宋体" w:eastAsia="宋体" w:cs="宋体"/>
          <w:color w:val="auto"/>
          <w:kern w:val="0"/>
          <w:sz w:val="24"/>
          <w:szCs w:val="24"/>
        </w:rPr>
        <w:t>万元，较</w:t>
      </w:r>
      <w:r>
        <w:rPr>
          <w:rFonts w:hint="eastAsia" w:ascii="宋体" w:hAnsi="宋体" w:eastAsia="宋体" w:cs="宋体"/>
          <w:color w:val="auto"/>
          <w:kern w:val="0"/>
          <w:sz w:val="24"/>
          <w:szCs w:val="24"/>
          <w:lang w:eastAsia="zh-CN"/>
        </w:rPr>
        <w:t>上年</w:t>
      </w:r>
      <w:r>
        <w:rPr>
          <w:rFonts w:hint="eastAsia" w:ascii="宋体" w:hAnsi="宋体" w:eastAsia="宋体" w:cs="宋体"/>
          <w:color w:val="auto"/>
          <w:kern w:val="0"/>
          <w:sz w:val="24"/>
          <w:szCs w:val="24"/>
          <w:lang w:val="en-US" w:eastAsia="zh-CN"/>
        </w:rPr>
        <w:t>212.97</w:t>
      </w:r>
      <w:r>
        <w:rPr>
          <w:rFonts w:hint="eastAsia" w:ascii="宋体" w:hAnsi="宋体" w:eastAsia="宋体" w:cs="宋体"/>
          <w:color w:val="auto"/>
          <w:kern w:val="0"/>
          <w:sz w:val="24"/>
          <w:szCs w:val="24"/>
        </w:rPr>
        <w:t>万元增加支出</w:t>
      </w:r>
      <w:r>
        <w:rPr>
          <w:rFonts w:hint="eastAsia" w:ascii="宋体" w:hAnsi="宋体" w:eastAsia="宋体" w:cs="宋体"/>
          <w:color w:val="auto"/>
          <w:kern w:val="0"/>
          <w:sz w:val="24"/>
          <w:szCs w:val="24"/>
          <w:lang w:val="en-US" w:eastAsia="zh-CN"/>
        </w:rPr>
        <w:t>38.49</w:t>
      </w:r>
      <w:r>
        <w:rPr>
          <w:rFonts w:hint="eastAsia" w:ascii="宋体" w:hAnsi="宋体" w:eastAsia="宋体" w:cs="宋体"/>
          <w:color w:val="auto"/>
          <w:kern w:val="0"/>
          <w:sz w:val="24"/>
          <w:szCs w:val="24"/>
        </w:rPr>
        <w:t>万元，</w:t>
      </w:r>
      <w:r>
        <w:rPr>
          <w:rFonts w:hint="eastAsia" w:ascii="宋体" w:hAnsi="宋体" w:eastAsia="宋体" w:cs="宋体"/>
          <w:color w:val="auto"/>
          <w:kern w:val="0"/>
          <w:sz w:val="24"/>
          <w:szCs w:val="24"/>
          <w:lang w:eastAsia="zh-CN"/>
        </w:rPr>
        <w:t>增长</w:t>
      </w:r>
      <w:r>
        <w:rPr>
          <w:rFonts w:hint="eastAsia" w:ascii="宋体" w:hAnsi="宋体" w:eastAsia="宋体" w:cs="宋体"/>
          <w:color w:val="auto"/>
          <w:kern w:val="0"/>
          <w:sz w:val="24"/>
          <w:szCs w:val="24"/>
          <w:lang w:val="en-US" w:eastAsia="zh-CN"/>
        </w:rPr>
        <w:t>18.07%</w:t>
      </w:r>
      <w:r>
        <w:rPr>
          <w:rFonts w:hint="eastAsia" w:ascii="宋体" w:hAnsi="宋体" w:eastAsia="宋体" w:cs="宋体"/>
          <w:color w:val="auto"/>
          <w:kern w:val="0"/>
          <w:sz w:val="24"/>
          <w:szCs w:val="24"/>
        </w:rPr>
        <w:t>。</w:t>
      </w:r>
    </w:p>
    <w:p>
      <w:pPr>
        <w:widowControl/>
        <w:spacing w:before="240" w:after="240"/>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主要增减原因如下：基本工资支出</w:t>
      </w:r>
      <w:r>
        <w:rPr>
          <w:rFonts w:hint="eastAsia" w:ascii="宋体" w:hAnsi="宋体" w:eastAsia="宋体" w:cs="宋体"/>
          <w:kern w:val="0"/>
          <w:sz w:val="24"/>
          <w:szCs w:val="24"/>
          <w:lang w:val="en-US" w:eastAsia="zh-CN"/>
        </w:rPr>
        <w:t>71.20</w:t>
      </w:r>
      <w:r>
        <w:rPr>
          <w:rFonts w:hint="eastAsia" w:ascii="宋体" w:hAnsi="宋体" w:eastAsia="宋体" w:cs="宋体"/>
          <w:kern w:val="0"/>
          <w:sz w:val="24"/>
          <w:szCs w:val="24"/>
          <w:lang w:eastAsia="zh-CN"/>
        </w:rPr>
        <w:t>万元，较上年</w:t>
      </w:r>
      <w:r>
        <w:rPr>
          <w:rFonts w:hint="eastAsia" w:ascii="宋体" w:hAnsi="宋体" w:eastAsia="宋体" w:cs="宋体"/>
          <w:kern w:val="0"/>
          <w:sz w:val="24"/>
          <w:szCs w:val="24"/>
          <w:lang w:val="en-US" w:eastAsia="zh-CN"/>
        </w:rPr>
        <w:t>69.31万元</w:t>
      </w:r>
      <w:r>
        <w:rPr>
          <w:rFonts w:hint="eastAsia" w:ascii="宋体" w:hAnsi="宋体" w:eastAsia="宋体" w:cs="宋体"/>
          <w:kern w:val="0"/>
          <w:sz w:val="24"/>
          <w:szCs w:val="24"/>
          <w:lang w:eastAsia="zh-CN"/>
        </w:rPr>
        <w:t>增加支出</w:t>
      </w:r>
      <w:r>
        <w:rPr>
          <w:rFonts w:hint="eastAsia" w:ascii="宋体" w:hAnsi="宋体" w:eastAsia="宋体" w:cs="宋体"/>
          <w:kern w:val="0"/>
          <w:sz w:val="24"/>
          <w:szCs w:val="24"/>
          <w:lang w:val="en-US" w:eastAsia="zh-CN"/>
        </w:rPr>
        <w:t>1.89</w:t>
      </w:r>
      <w:r>
        <w:rPr>
          <w:rFonts w:hint="eastAsia" w:ascii="宋体" w:hAnsi="宋体" w:eastAsia="宋体" w:cs="宋体"/>
          <w:kern w:val="0"/>
          <w:sz w:val="24"/>
          <w:szCs w:val="24"/>
          <w:lang w:eastAsia="zh-CN"/>
        </w:rPr>
        <w:t>万元，主要为本年度调入</w:t>
      </w:r>
      <w:r>
        <w:rPr>
          <w:rFonts w:hint="eastAsia" w:ascii="宋体" w:hAnsi="宋体" w:eastAsia="宋体" w:cs="宋体"/>
          <w:kern w:val="0"/>
          <w:sz w:val="24"/>
          <w:szCs w:val="24"/>
          <w:lang w:val="en-US" w:eastAsia="zh-CN"/>
        </w:rPr>
        <w:t>1名公务员而增加的基本工资支出</w:t>
      </w:r>
      <w:r>
        <w:rPr>
          <w:rFonts w:hint="eastAsia" w:ascii="宋体" w:hAnsi="宋体" w:eastAsia="宋体" w:cs="宋体"/>
          <w:kern w:val="0"/>
          <w:sz w:val="24"/>
          <w:szCs w:val="24"/>
          <w:lang w:eastAsia="zh-CN"/>
        </w:rPr>
        <w:t>；津贴补贴（含奖励绩效工资）支出</w:t>
      </w:r>
      <w:r>
        <w:rPr>
          <w:rFonts w:hint="eastAsia" w:ascii="宋体" w:hAnsi="宋体" w:eastAsia="宋体" w:cs="宋体"/>
          <w:kern w:val="0"/>
          <w:sz w:val="24"/>
          <w:szCs w:val="24"/>
          <w:lang w:val="en-US" w:eastAsia="zh-CN"/>
        </w:rPr>
        <w:t>81.54</w:t>
      </w:r>
      <w:r>
        <w:rPr>
          <w:rFonts w:hint="eastAsia" w:ascii="宋体" w:hAnsi="宋体" w:eastAsia="宋体" w:cs="宋体"/>
          <w:kern w:val="0"/>
          <w:sz w:val="24"/>
          <w:szCs w:val="24"/>
          <w:lang w:eastAsia="zh-CN"/>
        </w:rPr>
        <w:t>万元，较上年</w:t>
      </w:r>
      <w:r>
        <w:rPr>
          <w:rFonts w:hint="eastAsia" w:ascii="宋体" w:hAnsi="宋体" w:eastAsia="宋体" w:cs="宋体"/>
          <w:kern w:val="0"/>
          <w:sz w:val="24"/>
          <w:szCs w:val="24"/>
          <w:lang w:val="en-US" w:eastAsia="zh-CN"/>
        </w:rPr>
        <w:t>70.22万元</w:t>
      </w:r>
      <w:r>
        <w:rPr>
          <w:rFonts w:hint="eastAsia" w:ascii="宋体" w:hAnsi="宋体" w:eastAsia="宋体" w:cs="宋体"/>
          <w:kern w:val="0"/>
          <w:sz w:val="24"/>
          <w:szCs w:val="24"/>
          <w:lang w:eastAsia="zh-CN"/>
        </w:rPr>
        <w:t>增加支出</w:t>
      </w:r>
      <w:r>
        <w:rPr>
          <w:rFonts w:hint="eastAsia" w:ascii="宋体" w:hAnsi="宋体" w:eastAsia="宋体" w:cs="宋体"/>
          <w:kern w:val="0"/>
          <w:sz w:val="24"/>
          <w:szCs w:val="24"/>
          <w:lang w:val="en-US" w:eastAsia="zh-CN"/>
        </w:rPr>
        <w:t>11.32</w:t>
      </w:r>
      <w:r>
        <w:rPr>
          <w:rFonts w:hint="eastAsia" w:ascii="宋体" w:hAnsi="宋体" w:eastAsia="宋体" w:cs="宋体"/>
          <w:kern w:val="0"/>
          <w:sz w:val="24"/>
          <w:szCs w:val="24"/>
          <w:lang w:eastAsia="zh-CN"/>
        </w:rPr>
        <w:t>万元，主要为本年度行政事业人员正常晋升及调入</w:t>
      </w:r>
      <w:r>
        <w:rPr>
          <w:rFonts w:hint="eastAsia" w:ascii="宋体" w:hAnsi="宋体" w:eastAsia="宋体" w:cs="宋体"/>
          <w:kern w:val="0"/>
          <w:sz w:val="24"/>
          <w:szCs w:val="24"/>
          <w:lang w:val="en-US" w:eastAsia="zh-CN"/>
        </w:rPr>
        <w:t>1名公务员而增加的津贴补贴</w:t>
      </w:r>
      <w:r>
        <w:rPr>
          <w:rFonts w:hint="eastAsia" w:ascii="宋体" w:hAnsi="宋体" w:eastAsia="宋体" w:cs="宋体"/>
          <w:kern w:val="0"/>
          <w:sz w:val="24"/>
          <w:szCs w:val="24"/>
          <w:lang w:eastAsia="zh-CN"/>
        </w:rPr>
        <w:t>支出；奖金支出</w:t>
      </w:r>
      <w:r>
        <w:rPr>
          <w:rFonts w:hint="eastAsia" w:ascii="宋体" w:hAnsi="宋体" w:eastAsia="宋体" w:cs="宋体"/>
          <w:kern w:val="0"/>
          <w:sz w:val="24"/>
          <w:szCs w:val="24"/>
          <w:lang w:val="en-US" w:eastAsia="zh-CN"/>
        </w:rPr>
        <w:t>15.85</w:t>
      </w:r>
      <w:r>
        <w:rPr>
          <w:rFonts w:hint="eastAsia" w:ascii="宋体" w:hAnsi="宋体" w:eastAsia="宋体" w:cs="宋体"/>
          <w:kern w:val="0"/>
          <w:sz w:val="24"/>
          <w:szCs w:val="24"/>
          <w:lang w:eastAsia="zh-CN"/>
        </w:rPr>
        <w:t>万元，较上年</w:t>
      </w:r>
      <w:r>
        <w:rPr>
          <w:rFonts w:hint="eastAsia" w:ascii="宋体" w:hAnsi="宋体" w:eastAsia="宋体" w:cs="宋体"/>
          <w:kern w:val="0"/>
          <w:sz w:val="24"/>
          <w:szCs w:val="24"/>
          <w:lang w:val="en-US" w:eastAsia="zh-CN"/>
        </w:rPr>
        <w:t>20.30万元</w:t>
      </w:r>
      <w:r>
        <w:rPr>
          <w:rFonts w:hint="eastAsia" w:ascii="宋体" w:hAnsi="宋体" w:eastAsia="宋体" w:cs="宋体"/>
          <w:kern w:val="0"/>
          <w:sz w:val="24"/>
          <w:szCs w:val="24"/>
          <w:lang w:eastAsia="zh-CN"/>
        </w:rPr>
        <w:t>减少支出</w:t>
      </w:r>
      <w:r>
        <w:rPr>
          <w:rFonts w:hint="eastAsia" w:ascii="宋体" w:hAnsi="宋体" w:eastAsia="宋体" w:cs="宋体"/>
          <w:kern w:val="0"/>
          <w:sz w:val="24"/>
          <w:szCs w:val="24"/>
          <w:lang w:val="en-US" w:eastAsia="zh-CN"/>
        </w:rPr>
        <w:t>4.45</w:t>
      </w:r>
      <w:r>
        <w:rPr>
          <w:rFonts w:hint="eastAsia" w:ascii="宋体" w:hAnsi="宋体" w:eastAsia="宋体" w:cs="宋体"/>
          <w:kern w:val="0"/>
          <w:sz w:val="24"/>
          <w:szCs w:val="24"/>
          <w:lang w:eastAsia="zh-CN"/>
        </w:rPr>
        <w:t>万元，主要是上年度补发了基础绩效奖金等；机关事业单位基本养老缴费支出</w:t>
      </w:r>
      <w:r>
        <w:rPr>
          <w:rFonts w:hint="eastAsia" w:ascii="宋体" w:hAnsi="宋体" w:eastAsia="宋体" w:cs="宋体"/>
          <w:kern w:val="0"/>
          <w:sz w:val="24"/>
          <w:szCs w:val="24"/>
          <w:lang w:val="en-US" w:eastAsia="zh-CN"/>
        </w:rPr>
        <w:t>24.95</w:t>
      </w:r>
      <w:r>
        <w:rPr>
          <w:rFonts w:hint="eastAsia" w:ascii="宋体" w:hAnsi="宋体" w:eastAsia="宋体" w:cs="宋体"/>
          <w:kern w:val="0"/>
          <w:sz w:val="24"/>
          <w:szCs w:val="24"/>
          <w:lang w:eastAsia="zh-CN"/>
        </w:rPr>
        <w:t>万元，较上年</w:t>
      </w:r>
      <w:r>
        <w:rPr>
          <w:rFonts w:hint="eastAsia" w:ascii="宋体" w:hAnsi="宋体" w:eastAsia="宋体" w:cs="宋体"/>
          <w:kern w:val="0"/>
          <w:sz w:val="24"/>
          <w:szCs w:val="24"/>
          <w:lang w:val="en-US" w:eastAsia="zh-CN"/>
        </w:rPr>
        <w:t>22.61万元</w:t>
      </w:r>
      <w:r>
        <w:rPr>
          <w:rFonts w:hint="eastAsia" w:ascii="宋体" w:hAnsi="宋体" w:eastAsia="宋体" w:cs="宋体"/>
          <w:kern w:val="0"/>
          <w:sz w:val="24"/>
          <w:szCs w:val="24"/>
          <w:lang w:eastAsia="zh-CN"/>
        </w:rPr>
        <w:t>增加支出</w:t>
      </w:r>
      <w:r>
        <w:rPr>
          <w:rFonts w:hint="eastAsia" w:ascii="宋体" w:hAnsi="宋体" w:eastAsia="宋体" w:cs="宋体"/>
          <w:kern w:val="0"/>
          <w:sz w:val="24"/>
          <w:szCs w:val="24"/>
          <w:lang w:val="en-US" w:eastAsia="zh-CN"/>
        </w:rPr>
        <w:t>2.34</w:t>
      </w:r>
      <w:r>
        <w:rPr>
          <w:rFonts w:hint="eastAsia" w:ascii="宋体" w:hAnsi="宋体" w:eastAsia="宋体" w:cs="宋体"/>
          <w:kern w:val="0"/>
          <w:sz w:val="24"/>
          <w:szCs w:val="24"/>
          <w:lang w:eastAsia="zh-CN"/>
        </w:rPr>
        <w:t>万元，主要是本年度调入</w:t>
      </w:r>
      <w:r>
        <w:rPr>
          <w:rFonts w:hint="eastAsia" w:ascii="宋体" w:hAnsi="宋体" w:eastAsia="宋体" w:cs="宋体"/>
          <w:kern w:val="0"/>
          <w:sz w:val="24"/>
          <w:szCs w:val="24"/>
          <w:lang w:val="en-US" w:eastAsia="zh-CN"/>
        </w:rPr>
        <w:t>1名公务员而增加</w:t>
      </w:r>
      <w:r>
        <w:rPr>
          <w:rFonts w:hint="eastAsia" w:ascii="宋体" w:hAnsi="宋体" w:eastAsia="宋体" w:cs="宋体"/>
          <w:kern w:val="0"/>
          <w:sz w:val="24"/>
          <w:szCs w:val="24"/>
          <w:lang w:eastAsia="zh-CN"/>
        </w:rPr>
        <w:t>的养老保险支出；职业年金缴费支出</w:t>
      </w:r>
      <w:r>
        <w:rPr>
          <w:rFonts w:hint="eastAsia" w:ascii="宋体" w:hAnsi="宋体" w:eastAsia="宋体" w:cs="宋体"/>
          <w:kern w:val="0"/>
          <w:sz w:val="24"/>
          <w:szCs w:val="24"/>
          <w:lang w:val="en-US" w:eastAsia="zh-CN"/>
        </w:rPr>
        <w:t>0.00万</w:t>
      </w:r>
      <w:r>
        <w:rPr>
          <w:rFonts w:hint="eastAsia" w:ascii="宋体" w:hAnsi="宋体" w:eastAsia="宋体" w:cs="宋体"/>
          <w:kern w:val="0"/>
          <w:sz w:val="24"/>
          <w:szCs w:val="24"/>
          <w:lang w:eastAsia="zh-CN"/>
        </w:rPr>
        <w:t>元，较上年</w:t>
      </w:r>
      <w:r>
        <w:rPr>
          <w:rFonts w:hint="eastAsia" w:ascii="宋体" w:hAnsi="宋体" w:eastAsia="宋体" w:cs="宋体"/>
          <w:kern w:val="0"/>
          <w:sz w:val="24"/>
          <w:szCs w:val="24"/>
          <w:lang w:val="en-US" w:eastAsia="zh-CN"/>
        </w:rPr>
        <w:t>6.49万元</w:t>
      </w:r>
      <w:r>
        <w:rPr>
          <w:rFonts w:hint="eastAsia" w:ascii="宋体" w:hAnsi="宋体" w:eastAsia="宋体" w:cs="宋体"/>
          <w:kern w:val="0"/>
          <w:sz w:val="24"/>
          <w:szCs w:val="24"/>
          <w:lang w:eastAsia="zh-CN"/>
        </w:rPr>
        <w:t>减少支出</w:t>
      </w:r>
      <w:r>
        <w:rPr>
          <w:rFonts w:hint="eastAsia" w:ascii="宋体" w:hAnsi="宋体" w:eastAsia="宋体" w:cs="宋体"/>
          <w:kern w:val="0"/>
          <w:sz w:val="24"/>
          <w:szCs w:val="24"/>
          <w:lang w:val="en-US" w:eastAsia="zh-CN"/>
        </w:rPr>
        <w:t>6.49</w:t>
      </w:r>
      <w:r>
        <w:rPr>
          <w:rFonts w:hint="eastAsia" w:ascii="宋体" w:hAnsi="宋体" w:eastAsia="宋体" w:cs="宋体"/>
          <w:kern w:val="0"/>
          <w:sz w:val="24"/>
          <w:szCs w:val="24"/>
          <w:lang w:eastAsia="zh-CN"/>
        </w:rPr>
        <w:t>万元，主要是上年度一次性收缴本年度退休人员高东兴2014-202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lang w:eastAsia="zh-CN"/>
        </w:rPr>
        <w:t>年度单位部分职业年金；职工基本医疗保险缴费支出（含医疗费）</w:t>
      </w:r>
      <w:r>
        <w:rPr>
          <w:rFonts w:hint="eastAsia" w:ascii="宋体" w:hAnsi="宋体" w:eastAsia="宋体" w:cs="宋体"/>
          <w:kern w:val="0"/>
          <w:sz w:val="24"/>
          <w:szCs w:val="24"/>
          <w:lang w:val="en-US" w:eastAsia="zh-CN"/>
        </w:rPr>
        <w:t>10.52</w:t>
      </w:r>
      <w:r>
        <w:rPr>
          <w:rFonts w:hint="eastAsia" w:ascii="宋体" w:hAnsi="宋体" w:eastAsia="宋体" w:cs="宋体"/>
          <w:kern w:val="0"/>
          <w:sz w:val="24"/>
          <w:szCs w:val="24"/>
          <w:lang w:eastAsia="zh-CN"/>
        </w:rPr>
        <w:t>万元，较上年</w:t>
      </w:r>
      <w:r>
        <w:rPr>
          <w:rFonts w:hint="eastAsia" w:ascii="宋体" w:hAnsi="宋体" w:eastAsia="宋体" w:cs="宋体"/>
          <w:kern w:val="0"/>
          <w:sz w:val="24"/>
          <w:szCs w:val="24"/>
          <w:lang w:val="en-US" w:eastAsia="zh-CN"/>
        </w:rPr>
        <w:t>10.29</w:t>
      </w:r>
      <w:r>
        <w:rPr>
          <w:rFonts w:hint="default" w:ascii="宋体" w:hAnsi="宋体" w:eastAsia="宋体" w:cs="宋体"/>
          <w:kern w:val="0"/>
          <w:sz w:val="24"/>
          <w:szCs w:val="24"/>
          <w:lang w:eastAsia="zh-CN"/>
        </w:rPr>
        <w:t>万元</w:t>
      </w:r>
      <w:r>
        <w:rPr>
          <w:rFonts w:hint="eastAsia" w:ascii="宋体" w:hAnsi="宋体" w:eastAsia="宋体" w:cs="宋体"/>
          <w:kern w:val="0"/>
          <w:sz w:val="24"/>
          <w:szCs w:val="24"/>
          <w:lang w:eastAsia="zh-CN"/>
        </w:rPr>
        <w:t>增加支出</w:t>
      </w:r>
      <w:r>
        <w:rPr>
          <w:rFonts w:hint="eastAsia" w:ascii="宋体" w:hAnsi="宋体" w:eastAsia="宋体" w:cs="宋体"/>
          <w:kern w:val="0"/>
          <w:sz w:val="24"/>
          <w:szCs w:val="24"/>
          <w:lang w:val="en-US" w:eastAsia="zh-CN"/>
        </w:rPr>
        <w:t>0.23</w:t>
      </w:r>
      <w:r>
        <w:rPr>
          <w:rFonts w:hint="eastAsia" w:ascii="宋体" w:hAnsi="宋体" w:eastAsia="宋体" w:cs="宋体"/>
          <w:kern w:val="0"/>
          <w:sz w:val="24"/>
          <w:szCs w:val="24"/>
          <w:lang w:eastAsia="zh-CN"/>
        </w:rPr>
        <w:t>万元，主要是本年度调入</w:t>
      </w:r>
      <w:r>
        <w:rPr>
          <w:rFonts w:hint="eastAsia" w:ascii="宋体" w:hAnsi="宋体" w:eastAsia="宋体" w:cs="宋体"/>
          <w:kern w:val="0"/>
          <w:sz w:val="24"/>
          <w:szCs w:val="24"/>
          <w:lang w:val="en-US" w:eastAsia="zh-CN"/>
        </w:rPr>
        <w:t>1名公务员而增加</w:t>
      </w:r>
      <w:r>
        <w:rPr>
          <w:rFonts w:hint="eastAsia" w:ascii="宋体" w:hAnsi="宋体" w:eastAsia="宋体" w:cs="宋体"/>
          <w:kern w:val="0"/>
          <w:sz w:val="24"/>
          <w:szCs w:val="24"/>
          <w:lang w:eastAsia="zh-CN"/>
        </w:rPr>
        <w:t>的医疗保险支出；其他社会保障缴费（工伤和失业保险）支出</w:t>
      </w:r>
      <w:r>
        <w:rPr>
          <w:rFonts w:hint="eastAsia" w:ascii="宋体" w:hAnsi="宋体" w:eastAsia="宋体" w:cs="宋体"/>
          <w:kern w:val="0"/>
          <w:sz w:val="24"/>
          <w:szCs w:val="24"/>
          <w:lang w:val="en-US" w:eastAsia="zh-CN"/>
        </w:rPr>
        <w:t>1.23</w:t>
      </w:r>
      <w:r>
        <w:rPr>
          <w:rFonts w:hint="eastAsia" w:ascii="宋体" w:hAnsi="宋体" w:eastAsia="宋体" w:cs="宋体"/>
          <w:kern w:val="0"/>
          <w:sz w:val="24"/>
          <w:szCs w:val="24"/>
          <w:lang w:eastAsia="zh-CN"/>
        </w:rPr>
        <w:t>万元，较上年0.</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lang w:eastAsia="zh-CN"/>
        </w:rPr>
        <w:t>8</w:t>
      </w:r>
      <w:r>
        <w:rPr>
          <w:rFonts w:hint="eastAsia" w:ascii="宋体" w:hAnsi="宋体" w:eastAsia="宋体" w:cs="宋体"/>
          <w:kern w:val="0"/>
          <w:sz w:val="24"/>
          <w:szCs w:val="24"/>
          <w:lang w:val="en-US" w:eastAsia="zh-CN"/>
        </w:rPr>
        <w:t>万元</w:t>
      </w:r>
      <w:r>
        <w:rPr>
          <w:rFonts w:hint="eastAsia" w:ascii="宋体" w:hAnsi="宋体" w:eastAsia="宋体" w:cs="宋体"/>
          <w:kern w:val="0"/>
          <w:sz w:val="24"/>
          <w:szCs w:val="24"/>
          <w:lang w:eastAsia="zh-CN"/>
        </w:rPr>
        <w:t>增加支出</w:t>
      </w:r>
      <w:r>
        <w:rPr>
          <w:rFonts w:hint="eastAsia" w:ascii="宋体" w:hAnsi="宋体" w:eastAsia="宋体" w:cs="宋体"/>
          <w:kern w:val="0"/>
          <w:sz w:val="24"/>
          <w:szCs w:val="24"/>
          <w:lang w:val="en-US" w:eastAsia="zh-CN"/>
        </w:rPr>
        <w:t>0.55</w:t>
      </w:r>
      <w:r>
        <w:rPr>
          <w:rFonts w:hint="eastAsia" w:ascii="宋体" w:hAnsi="宋体" w:eastAsia="宋体" w:cs="宋体"/>
          <w:kern w:val="0"/>
          <w:sz w:val="24"/>
          <w:szCs w:val="24"/>
          <w:lang w:eastAsia="zh-CN"/>
        </w:rPr>
        <w:t>万元，主要是</w:t>
      </w:r>
      <w:r>
        <w:rPr>
          <w:rFonts w:hint="eastAsia" w:ascii="宋体" w:hAnsi="宋体" w:eastAsia="宋体" w:cs="宋体"/>
          <w:kern w:val="0"/>
          <w:sz w:val="24"/>
          <w:szCs w:val="24"/>
          <w:lang w:val="en-US" w:eastAsia="zh-CN"/>
        </w:rPr>
        <w:t>2022年8-9月份</w:t>
      </w:r>
      <w:r>
        <w:rPr>
          <w:rFonts w:hint="eastAsia" w:ascii="宋体" w:hAnsi="宋体" w:eastAsia="宋体" w:cs="宋体"/>
          <w:kern w:val="0"/>
          <w:sz w:val="24"/>
          <w:szCs w:val="24"/>
          <w:lang w:eastAsia="zh-CN"/>
        </w:rPr>
        <w:t>新考录和调入</w:t>
      </w:r>
      <w:r>
        <w:rPr>
          <w:rFonts w:hint="eastAsia" w:ascii="宋体" w:hAnsi="宋体" w:eastAsia="宋体" w:cs="宋体"/>
          <w:kern w:val="0"/>
          <w:sz w:val="24"/>
          <w:szCs w:val="24"/>
          <w:lang w:val="en-US" w:eastAsia="zh-CN"/>
        </w:rPr>
        <w:t>事业人员及本年度新调入公务员</w:t>
      </w:r>
      <w:r>
        <w:rPr>
          <w:rFonts w:hint="eastAsia" w:ascii="宋体" w:hAnsi="宋体" w:eastAsia="宋体" w:cs="宋体"/>
          <w:kern w:val="0"/>
          <w:sz w:val="24"/>
          <w:szCs w:val="24"/>
          <w:lang w:eastAsia="zh-CN"/>
        </w:rPr>
        <w:t>增加的支出；本年度住房公积金缴费支出为</w:t>
      </w:r>
      <w:r>
        <w:rPr>
          <w:rFonts w:hint="eastAsia" w:ascii="宋体" w:hAnsi="宋体" w:eastAsia="宋体" w:cs="宋体"/>
          <w:kern w:val="0"/>
          <w:sz w:val="24"/>
          <w:szCs w:val="24"/>
          <w:lang w:val="en-US" w:eastAsia="zh-CN"/>
        </w:rPr>
        <w:t>15.62万元</w:t>
      </w:r>
      <w:r>
        <w:rPr>
          <w:rFonts w:hint="eastAsia" w:ascii="宋体" w:hAnsi="宋体" w:eastAsia="宋体" w:cs="宋体"/>
          <w:kern w:val="0"/>
          <w:sz w:val="24"/>
          <w:szCs w:val="24"/>
          <w:lang w:eastAsia="zh-CN"/>
        </w:rPr>
        <w:t>，较上年</w:t>
      </w:r>
      <w:r>
        <w:rPr>
          <w:rFonts w:hint="eastAsia" w:ascii="宋体" w:hAnsi="宋体" w:eastAsia="宋体" w:cs="宋体"/>
          <w:kern w:val="0"/>
          <w:sz w:val="24"/>
          <w:szCs w:val="24"/>
          <w:lang w:val="en-US" w:eastAsia="zh-CN"/>
        </w:rPr>
        <w:t>13.06万元</w:t>
      </w:r>
      <w:r>
        <w:rPr>
          <w:rFonts w:hint="eastAsia" w:ascii="宋体" w:hAnsi="宋体" w:eastAsia="宋体" w:cs="宋体"/>
          <w:kern w:val="0"/>
          <w:sz w:val="24"/>
          <w:szCs w:val="24"/>
          <w:lang w:eastAsia="zh-CN"/>
        </w:rPr>
        <w:t>增加支出</w:t>
      </w:r>
      <w:r>
        <w:rPr>
          <w:rFonts w:hint="eastAsia" w:ascii="宋体" w:hAnsi="宋体" w:eastAsia="宋体" w:cs="宋体"/>
          <w:kern w:val="0"/>
          <w:sz w:val="24"/>
          <w:szCs w:val="24"/>
          <w:lang w:val="en-US" w:eastAsia="zh-CN"/>
        </w:rPr>
        <w:t>2.56</w:t>
      </w:r>
      <w:r>
        <w:rPr>
          <w:rFonts w:hint="eastAsia" w:ascii="宋体" w:hAnsi="宋体" w:eastAsia="宋体" w:cs="宋体"/>
          <w:kern w:val="0"/>
          <w:sz w:val="24"/>
          <w:szCs w:val="24"/>
          <w:lang w:eastAsia="zh-CN"/>
        </w:rPr>
        <w:t>万元，主要是本年度调入</w:t>
      </w:r>
      <w:r>
        <w:rPr>
          <w:rFonts w:hint="eastAsia" w:ascii="宋体" w:hAnsi="宋体" w:eastAsia="宋体" w:cs="宋体"/>
          <w:kern w:val="0"/>
          <w:sz w:val="24"/>
          <w:szCs w:val="24"/>
          <w:lang w:val="en-US" w:eastAsia="zh-CN"/>
        </w:rPr>
        <w:t>1名公务员而增加</w:t>
      </w:r>
      <w:r>
        <w:rPr>
          <w:rFonts w:hint="eastAsia" w:ascii="宋体" w:hAnsi="宋体" w:eastAsia="宋体" w:cs="宋体"/>
          <w:kern w:val="0"/>
          <w:sz w:val="24"/>
          <w:szCs w:val="24"/>
          <w:lang w:eastAsia="zh-CN"/>
        </w:rPr>
        <w:t>的住房公积金支出；其他工资福利支出</w:t>
      </w:r>
      <w:r>
        <w:rPr>
          <w:rFonts w:hint="eastAsia" w:ascii="宋体" w:hAnsi="宋体" w:eastAsia="宋体" w:cs="宋体"/>
          <w:kern w:val="0"/>
          <w:sz w:val="24"/>
          <w:szCs w:val="24"/>
          <w:lang w:val="en-US" w:eastAsia="zh-CN"/>
        </w:rPr>
        <w:t>30.56万元，较</w:t>
      </w:r>
      <w:r>
        <w:rPr>
          <w:rFonts w:hint="eastAsia" w:ascii="宋体" w:hAnsi="宋体" w:eastAsia="宋体" w:cs="宋体"/>
          <w:kern w:val="0"/>
          <w:sz w:val="24"/>
          <w:szCs w:val="24"/>
          <w:lang w:eastAsia="zh-CN"/>
        </w:rPr>
        <w:t>上年</w:t>
      </w:r>
      <w:r>
        <w:rPr>
          <w:rFonts w:hint="eastAsia" w:ascii="宋体" w:hAnsi="宋体" w:eastAsia="宋体" w:cs="宋体"/>
          <w:kern w:val="0"/>
          <w:sz w:val="24"/>
          <w:szCs w:val="24"/>
          <w:lang w:val="en-US" w:eastAsia="zh-CN"/>
        </w:rPr>
        <w:t>0.00万元增加支30.56万元，主要是本年度将统配生、分流人员工资保险列支其他工资福利支出。</w:t>
      </w:r>
    </w:p>
    <w:p>
      <w:pPr>
        <w:widowControl/>
        <w:spacing w:before="240" w:after="240"/>
        <w:ind w:firstLine="420" w:firstLineChars="200"/>
        <w:jc w:val="left"/>
        <w:rPr>
          <w:rFonts w:hint="eastAsia" w:ascii="宋体" w:hAnsi="宋体" w:eastAsia="宋体" w:cs="宋体"/>
          <w:kern w:val="0"/>
          <w:sz w:val="24"/>
          <w:szCs w:val="24"/>
          <w:lang w:val="en-US" w:eastAsia="zh-CN"/>
        </w:rPr>
      </w:pPr>
      <w:r>
        <w:drawing>
          <wp:inline distT="0" distB="0" distL="114300" distR="114300">
            <wp:extent cx="5154295" cy="2084705"/>
            <wp:effectExtent l="4445" t="4445" r="22860" b="635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widowControl/>
        <w:spacing w:before="240" w:after="240"/>
        <w:ind w:firstLine="482"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②商品和服务支出</w:t>
      </w:r>
      <w:r>
        <w:rPr>
          <w:rFonts w:hint="eastAsia" w:ascii="宋体" w:hAnsi="宋体" w:eastAsia="宋体" w:cs="宋体"/>
          <w:color w:val="auto"/>
          <w:kern w:val="0"/>
          <w:sz w:val="24"/>
          <w:szCs w:val="24"/>
          <w:lang w:val="en-US" w:eastAsia="zh-CN"/>
        </w:rPr>
        <w:t>：本年度商品和服务支出32.74万元，较</w:t>
      </w:r>
      <w:r>
        <w:rPr>
          <w:rFonts w:hint="eastAsia" w:ascii="宋体" w:hAnsi="宋体" w:eastAsia="宋体" w:cs="宋体"/>
          <w:color w:val="auto"/>
          <w:kern w:val="0"/>
          <w:sz w:val="24"/>
          <w:szCs w:val="24"/>
          <w:lang w:eastAsia="zh-CN"/>
        </w:rPr>
        <w:t>上年</w:t>
      </w:r>
      <w:r>
        <w:rPr>
          <w:rFonts w:hint="default" w:ascii="宋体" w:hAnsi="宋体" w:eastAsia="宋体" w:cs="宋体"/>
          <w:color w:val="auto"/>
          <w:kern w:val="0"/>
          <w:sz w:val="24"/>
          <w:szCs w:val="24"/>
          <w:lang w:val="en-US" w:eastAsia="zh-CN"/>
        </w:rPr>
        <w:t>136.25</w:t>
      </w:r>
      <w:r>
        <w:rPr>
          <w:rFonts w:hint="eastAsia" w:ascii="宋体" w:hAnsi="宋体" w:eastAsia="宋体" w:cs="宋体"/>
          <w:color w:val="auto"/>
          <w:kern w:val="0"/>
          <w:sz w:val="24"/>
          <w:szCs w:val="24"/>
          <w:lang w:val="en-US" w:eastAsia="zh-CN"/>
        </w:rPr>
        <w:t>万元减少支出103.51万元，减少75.97%，主要增减原因如下：</w:t>
      </w:r>
    </w:p>
    <w:p>
      <w:pPr>
        <w:widowControl/>
        <w:spacing w:before="240" w:after="240"/>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办公费支出8.99万元，较上年9.84万元减少支出0.85万元，主要是单位购买办公耗材费用及订刊费用等稍有减少；印刷费支出1.04万元，较上年3.70万元减少支出2.66万元，主要是用于单位会议室制作图版及印刷活动条幅等产生的印刷费用减少；水费支出0.66万元，较上年0.76万元减少支出0.1万元，为购买饮用桶装水费用支出；邮电费支出0.69万元，较上年0.90万元减少支出0.21万元，为单位座机电话费支出；差旅费支出5.45万元，较上年7.45万元减少支出2万元，主要是外出出差次数相对减少；会议费支出0.25万元，较上年0.55万元减少支出0.30万元，主要是安全生产开展培训会等活动开展较上年减少；培训费支出1.02万元，较上年2.19万元减少支出1.17万元，主要是较上年减少外出参加各培训班；委托业务费支出3.22万元，较上年0.75万元增加支出2.47万元，主要是本年度支付奈曼旗物流园区总体规划修编报告编制费用、青山商城消防设施维修费用及安全生产技术咨询服务费用；公务接待费支出0.48万元，较上年0.27万元增加支出0.21万元，主要是接待通辽市金融局、商务局</w:t>
      </w:r>
      <w:r>
        <w:rPr>
          <w:rFonts w:hint="default" w:ascii="宋体" w:hAnsi="宋体" w:eastAsia="宋体" w:cs="宋体"/>
          <w:color w:val="auto"/>
          <w:kern w:val="0"/>
          <w:sz w:val="24"/>
          <w:szCs w:val="24"/>
          <w:lang w:val="en-US" w:eastAsia="zh-CN"/>
        </w:rPr>
        <w:t>等</w:t>
      </w:r>
      <w:r>
        <w:rPr>
          <w:rFonts w:hint="eastAsia" w:ascii="宋体" w:hAnsi="宋体" w:eastAsia="宋体" w:cs="宋体"/>
          <w:color w:val="auto"/>
          <w:kern w:val="0"/>
          <w:sz w:val="24"/>
          <w:szCs w:val="24"/>
          <w:lang w:val="en-US" w:eastAsia="zh-CN"/>
        </w:rPr>
        <w:t>督导组费用；公务用车运行维护费支出3.59万元，较上年</w:t>
      </w:r>
      <w:r>
        <w:rPr>
          <w:rFonts w:hint="default"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90万元减少支出0.31万元，主要是本年度减少疫情工作等而减少的公务车燃油费和维修费支出；其他交通费0.72万元，较上年6.47万元减少支出5.75万元，主要是乡村振兴工作交通补贴费用，且本年度公务员交通补贴列支津贴补贴；其他商品服务支出6.63万元，较上年99.28万元减少支出92.65万元，主要是上年度压缩单位经费偿还临储粮监管费。</w:t>
      </w:r>
    </w:p>
    <w:p>
      <w:pPr>
        <w:numPr>
          <w:ilvl w:val="0"/>
          <w:numId w:val="0"/>
        </w:numPr>
        <w:ind w:firstLine="420" w:firstLineChars="200"/>
        <w:rPr>
          <w:rFonts w:hint="eastAsia" w:ascii="宋体" w:hAnsi="宋体" w:eastAsia="宋体" w:cs="宋体"/>
          <w:color w:val="0000FF"/>
          <w:kern w:val="0"/>
          <w:sz w:val="24"/>
          <w:szCs w:val="24"/>
          <w:lang w:eastAsia="zh-CN"/>
        </w:rPr>
      </w:pPr>
      <w:r>
        <w:drawing>
          <wp:inline distT="0" distB="0" distL="114300" distR="114300">
            <wp:extent cx="4953635" cy="1838960"/>
            <wp:effectExtent l="4445" t="4445" r="13970" b="23495"/>
            <wp:docPr id="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0"/>
        </w:numPr>
        <w:ind w:firstLine="480" w:firstLineChars="200"/>
        <w:rPr>
          <w:rFonts w:hint="eastAsia" w:ascii="宋体" w:hAnsi="宋体" w:eastAsia="宋体" w:cs="宋体"/>
          <w:color w:val="0000FF"/>
          <w:kern w:val="0"/>
          <w:sz w:val="24"/>
          <w:szCs w:val="24"/>
          <w:lang w:eastAsia="zh-CN"/>
        </w:rPr>
      </w:pPr>
    </w:p>
    <w:p>
      <w:pPr>
        <w:widowControl/>
        <w:spacing w:before="240" w:after="240"/>
        <w:ind w:firstLine="482"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③对个人和家庭的补助支出：</w:t>
      </w:r>
      <w:r>
        <w:rPr>
          <w:rFonts w:hint="eastAsia" w:ascii="宋体" w:hAnsi="宋体" w:eastAsia="宋体" w:cs="宋体"/>
          <w:color w:val="auto"/>
          <w:kern w:val="0"/>
          <w:sz w:val="24"/>
          <w:szCs w:val="24"/>
          <w:lang w:val="en-US" w:eastAsia="zh-CN"/>
        </w:rPr>
        <w:t>本年度对个人和家庭的补助支出51.24万元，较上年132.26万元减少支出81.02万元，减少61.26%，主要增减原因如下：</w:t>
      </w:r>
    </w:p>
    <w:p>
      <w:pPr>
        <w:widowControl/>
        <w:spacing w:before="240" w:after="240"/>
        <w:ind w:firstLine="480" w:firstLineChars="200"/>
        <w:jc w:val="lef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年度离休费支出6.23万元，较上年15.13万元减少支出8.9万元，为离休人员1人去世而减少的离休费支出；生活补助（遗属费）支出22.60万元，较上年13.63万元增加支出8.97万元，主要是本年度遗属人员生活补助调增以及上年度1名遗属人员去世，追回多发遗属费9万元冲减当年支出；退休费支出22.41万元，较上年0.00万元增加支出22.41万元，主要是本年度退休人员项目外工资由社保发放改为单位发放。抚恤金支出0.00万元，较上年度103.49万元减少支出103.49万元，主要是本年度未发放去世人员丧葬费及一次性抚恤金。</w:t>
      </w:r>
    </w:p>
    <w:p>
      <w:pPr>
        <w:numPr>
          <w:ilvl w:val="0"/>
          <w:numId w:val="0"/>
        </w:numPr>
        <w:ind w:firstLine="420" w:firstLineChars="200"/>
        <w:rPr>
          <w:rFonts w:hint="eastAsia" w:ascii="仿宋_GB2312" w:hAnsi="仿宋" w:eastAsia="仿宋_GB2312"/>
          <w:color w:val="auto"/>
          <w:sz w:val="32"/>
          <w:szCs w:val="32"/>
          <w:lang w:val="en-US" w:eastAsia="zh-CN"/>
        </w:rPr>
      </w:pPr>
      <w:r>
        <w:drawing>
          <wp:inline distT="0" distB="0" distL="114300" distR="114300">
            <wp:extent cx="4572000" cy="2743200"/>
            <wp:effectExtent l="4445" t="4445" r="14605" b="14605"/>
            <wp:docPr id="1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numPr>
          <w:ilvl w:val="0"/>
          <w:numId w:val="0"/>
        </w:numPr>
        <w:ind w:firstLine="480" w:firstLineChars="200"/>
        <w:rPr>
          <w:rFonts w:hint="default" w:ascii="宋体" w:hAnsi="宋体" w:eastAsia="宋体" w:cs="宋体"/>
          <w:color w:val="0000FF"/>
          <w:kern w:val="0"/>
          <w:sz w:val="24"/>
          <w:szCs w:val="24"/>
          <w:lang w:val="en-US" w:eastAsia="zh-CN"/>
        </w:rPr>
      </w:pPr>
    </w:p>
    <w:p>
      <w:pPr>
        <w:pStyle w:val="9"/>
        <w:ind w:left="0" w:leftChars="0" w:firstLine="482" w:firstLineChars="200"/>
        <w:rPr>
          <w:rFonts w:hint="eastAsia" w:ascii="宋体" w:hAnsi="宋体" w:eastAsia="宋体" w:cs="宋体"/>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④项目支出：</w:t>
      </w:r>
      <w:r>
        <w:rPr>
          <w:rFonts w:hint="eastAsia" w:ascii="宋体" w:hAnsi="宋体" w:eastAsia="宋体" w:cs="宋体"/>
          <w:color w:val="auto"/>
          <w:kern w:val="0"/>
          <w:sz w:val="24"/>
          <w:szCs w:val="24"/>
          <w:lang w:val="en-US" w:eastAsia="zh-CN" w:bidi="ar-SA"/>
        </w:rPr>
        <w:t>本年度项目支出决算数为3,629.18万元，较上年563万元增加支出30,66.18万元。</w:t>
      </w:r>
    </w:p>
    <w:p>
      <w:pPr>
        <w:ind w:firstLine="482" w:firstLineChars="20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本年度支付一般性公共财政拨款项目支出981.15万元，较上年563.00万元增加支出418.15万元。</w:t>
      </w:r>
    </w:p>
    <w:p>
      <w:pPr>
        <w:pStyle w:val="9"/>
        <w:ind w:left="0" w:leftChars="0" w:firstLine="480" w:firstLineChars="200"/>
        <w:rPr>
          <w:rFonts w:hint="default"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其中支付2023年目标价格补贴核查经费1.00万元、2023年度内贸流通服务业发展专项资金2.85万元、2022年外经贸发展专项资金200.00万元、2023年外经贸发展专项资金280.00万元、奈曼旗青山商城天井钢结构屋面工程建设项目166.16万元、奈曼旗限额以上商贸流通企业入库奖励资金24.00万元、电子商务进农村综合示范县项目补贴资金187.15万元、2023年惠民购车节活动现场布置费用3.50万元、电子商务进农村综合示范县项目终验费用8.00万元、“金沙之城.品味奈曼”美食文化节活动现场布置费用20.00万元、奈曼旗物流业发展规划编制预算资金58.5万元、2023年电子消费券30.00万元。</w:t>
      </w:r>
    </w:p>
    <w:p>
      <w:pPr>
        <w:ind w:firstLine="482" w:firstLineChars="200"/>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本年度支付政府性基金预算财政拨款支出2,648.04万元，较上年0.00万元增加支出2,648.04万元，为通辽市奈曼旗物流园区基础设施建设项目资金。</w:t>
      </w:r>
    </w:p>
    <w:p>
      <w:pPr>
        <w:widowControl/>
        <w:numPr>
          <w:ilvl w:val="0"/>
          <w:numId w:val="0"/>
        </w:numPr>
        <w:spacing w:before="240" w:after="240"/>
        <w:ind w:leftChars="200"/>
        <w:jc w:val="left"/>
        <w:rPr>
          <w:rFonts w:hint="eastAsia" w:ascii="宋体" w:hAnsi="宋体" w:eastAsia="宋体" w:cs="宋体"/>
          <w:color w:val="0000FF"/>
          <w:kern w:val="0"/>
          <w:sz w:val="24"/>
          <w:szCs w:val="24"/>
          <w:lang w:eastAsia="zh-CN"/>
        </w:rPr>
      </w:pPr>
    </w:p>
    <w:p>
      <w:pPr>
        <w:pStyle w:val="6"/>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3</w:t>
      </w:r>
      <w:r>
        <w:rPr>
          <w:rFonts w:ascii="宋体" w:hAnsi="宋体" w:eastAsia="宋体" w:cs="宋体"/>
          <w:b/>
          <w:bCs/>
          <w:i w:val="0"/>
          <w:iCs w:val="0"/>
          <w:color w:val="auto"/>
          <w:kern w:val="0"/>
          <w:sz w:val="24"/>
          <w:szCs w:val="24"/>
        </w:rPr>
        <w:t>．支出按经济分类科目分析。</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1</w:t>
      </w:r>
      <w:r>
        <w:rPr>
          <w:rFonts w:ascii="宋体" w:hAnsi="宋体" w:eastAsia="宋体" w:cs="宋体"/>
          <w:kern w:val="0"/>
          <w:sz w:val="24"/>
          <w:szCs w:val="24"/>
        </w:rPr>
        <w:t>）</w:t>
      </w:r>
      <w:r>
        <w:rPr>
          <w:rFonts w:ascii="Times New Roman" w:hAnsi="Times New Roman" w:eastAsia="Times New Roman" w:cs="Times New Roman"/>
          <w:kern w:val="0"/>
          <w:sz w:val="24"/>
          <w:szCs w:val="24"/>
        </w:rPr>
        <w:t>“</w:t>
      </w:r>
      <w:r>
        <w:rPr>
          <w:rFonts w:ascii="宋体" w:hAnsi="宋体" w:eastAsia="宋体" w:cs="宋体"/>
          <w:kern w:val="0"/>
          <w:sz w:val="24"/>
          <w:szCs w:val="24"/>
        </w:rPr>
        <w:t>三公</w:t>
      </w:r>
      <w:r>
        <w:rPr>
          <w:rFonts w:ascii="Times New Roman" w:hAnsi="Times New Roman" w:eastAsia="Times New Roman" w:cs="Times New Roman"/>
          <w:kern w:val="0"/>
          <w:sz w:val="24"/>
          <w:szCs w:val="24"/>
        </w:rPr>
        <w:t>”</w:t>
      </w:r>
      <w:r>
        <w:rPr>
          <w:rFonts w:ascii="宋体" w:hAnsi="宋体" w:eastAsia="宋体" w:cs="宋体"/>
          <w:kern w:val="0"/>
          <w:sz w:val="24"/>
          <w:szCs w:val="24"/>
        </w:rPr>
        <w:t>经费支出情况：可进行上下年对比、预决算对比。分析</w:t>
      </w:r>
      <w:r>
        <w:rPr>
          <w:rFonts w:ascii="Times New Roman" w:hAnsi="Times New Roman" w:eastAsia="Times New Roman" w:cs="Times New Roman"/>
          <w:kern w:val="0"/>
          <w:sz w:val="24"/>
          <w:szCs w:val="24"/>
        </w:rPr>
        <w:t>“</w:t>
      </w:r>
      <w:r>
        <w:rPr>
          <w:rFonts w:ascii="宋体" w:hAnsi="宋体" w:eastAsia="宋体" w:cs="宋体"/>
          <w:kern w:val="0"/>
          <w:sz w:val="24"/>
          <w:szCs w:val="24"/>
        </w:rPr>
        <w:t>三公</w:t>
      </w:r>
      <w:r>
        <w:rPr>
          <w:rFonts w:ascii="Times New Roman" w:hAnsi="Times New Roman" w:eastAsia="Times New Roman" w:cs="Times New Roman"/>
          <w:kern w:val="0"/>
          <w:sz w:val="24"/>
          <w:szCs w:val="24"/>
        </w:rPr>
        <w:t>”</w:t>
      </w:r>
      <w:r>
        <w:rPr>
          <w:rFonts w:ascii="宋体" w:hAnsi="宋体" w:eastAsia="宋体" w:cs="宋体"/>
          <w:kern w:val="0"/>
          <w:sz w:val="24"/>
          <w:szCs w:val="24"/>
        </w:rPr>
        <w:t>经费实物量情况，例如公务用车购置及保有量、因公出国（境）团组数及人数和公务接待批次及人数等情况与分析。动用上年结转用于三公经费的情况与原因。</w:t>
      </w:r>
    </w:p>
    <w:p>
      <w:pPr>
        <w:pStyle w:val="9"/>
        <w:spacing w:after="0" w:line="560" w:lineRule="exact"/>
        <w:ind w:left="0" w:leftChars="0" w:firstLine="64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本年度三公经费支出4.65万元，较年初预算6万元对比减少支出1.35万元，下降22.5%。较上年支出5.17万元减少支出0.52万元，下降10.06%，分类如下：</w:t>
      </w:r>
    </w:p>
    <w:p>
      <w:pPr>
        <w:snapToGrid w:val="0"/>
        <w:spacing w:line="520" w:lineRule="exact"/>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1、公务接待费年初预算1万元，本年实际支出0.48万元，较年初预算减少支出0.52元，下降52%；较上年0.27万元增加支出0.21万元，增长77.78%；主要是增加接待市金融局和市商务局等督导组费用。</w:t>
      </w:r>
    </w:p>
    <w:p>
      <w:pPr>
        <w:snapToGrid w:val="0"/>
        <w:spacing w:line="520" w:lineRule="exact"/>
        <w:ind w:firstLine="480" w:firstLineChars="200"/>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公务车运行维护费年初预算5万元，本年实际支出4.17万元，较年初预算减少支出0.83万元，下降16.6%；较上年支出4.9万元减少支出0.73万元，下降14.90%；主要是本年度减少招商及安全生产检查等而减少的公务车燃油费和维修费支出。</w:t>
      </w:r>
    </w:p>
    <w:p>
      <w:pPr>
        <w:ind w:firstLine="480" w:firstLineChars="200"/>
        <w:rPr>
          <w:rFonts w:hint="eastAsia" w:ascii="宋体" w:hAnsi="宋体" w:eastAsia="宋体" w:cs="宋体"/>
          <w:color w:val="auto"/>
          <w:kern w:val="0"/>
          <w:sz w:val="24"/>
          <w:szCs w:val="24"/>
          <w:lang w:val="en-US" w:eastAsia="zh-CN"/>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2</w:t>
      </w:r>
      <w:r>
        <w:rPr>
          <w:rFonts w:ascii="宋体" w:hAnsi="宋体" w:eastAsia="宋体" w:cs="宋体"/>
          <w:kern w:val="0"/>
          <w:sz w:val="24"/>
          <w:szCs w:val="24"/>
        </w:rPr>
        <w:t>）</w:t>
      </w:r>
      <w:r>
        <w:rPr>
          <w:rFonts w:hint="eastAsia" w:ascii="宋体" w:hAnsi="宋体" w:eastAsia="宋体" w:cs="宋体"/>
          <w:color w:val="auto"/>
          <w:kern w:val="0"/>
          <w:sz w:val="24"/>
          <w:szCs w:val="24"/>
          <w:lang w:val="en-US" w:eastAsia="zh-CN"/>
        </w:rPr>
        <w:t>会议费支出情况：可进行上下年对比，人均支出情况分析（可做表、柱图、折线图）。</w:t>
      </w:r>
    </w:p>
    <w:p>
      <w:pPr>
        <w:ind w:firstLine="480" w:firstLineChars="200"/>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本年度会议费支出0.25万元，较年初预算0.00万元增加支出0.25万元，较上年0.55万元减少支出0.30万元，下降54.55%，主要是主要是安全生产开展培训会等活动开展较上年减少。</w:t>
      </w:r>
    </w:p>
    <w:p>
      <w:pPr>
        <w:widowControl/>
        <w:spacing w:before="240" w:after="240"/>
        <w:jc w:val="left"/>
        <w:rPr>
          <w:rFonts w:ascii="Times New Roman" w:hAnsi="Times New Roman" w:eastAsia="Times New Roman" w:cs="Times New Roman"/>
          <w:kern w:val="0"/>
          <w:sz w:val="24"/>
          <w:szCs w:val="24"/>
        </w:rPr>
      </w:pPr>
      <w:r>
        <w:drawing>
          <wp:inline distT="0" distB="0" distL="114300" distR="114300">
            <wp:extent cx="5110480" cy="1683385"/>
            <wp:effectExtent l="4445" t="4445" r="9525" b="7620"/>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widowControl/>
        <w:numPr>
          <w:ilvl w:val="0"/>
          <w:numId w:val="2"/>
        </w:numPr>
        <w:spacing w:before="240" w:after="240"/>
        <w:ind w:left="0" w:leftChars="0" w:firstLine="480" w:firstLineChars="200"/>
        <w:jc w:val="left"/>
        <w:rPr>
          <w:rFonts w:ascii="宋体" w:hAnsi="宋体" w:eastAsia="宋体" w:cs="宋体"/>
          <w:kern w:val="0"/>
          <w:sz w:val="24"/>
          <w:szCs w:val="24"/>
        </w:rPr>
      </w:pPr>
      <w:r>
        <w:rPr>
          <w:rFonts w:ascii="宋体" w:hAnsi="宋体" w:eastAsia="宋体" w:cs="宋体"/>
          <w:kern w:val="0"/>
          <w:sz w:val="24"/>
          <w:szCs w:val="24"/>
        </w:rPr>
        <w:t>培训费支出情况：可进行上下年对比，人均支出情况分析（可做表、柱图、折线图）。</w:t>
      </w:r>
    </w:p>
    <w:p>
      <w:pPr>
        <w:widowControl/>
        <w:numPr>
          <w:ilvl w:val="0"/>
          <w:numId w:val="0"/>
        </w:numPr>
        <w:spacing w:before="240" w:after="24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培训费支出</w:t>
      </w:r>
      <w:r>
        <w:rPr>
          <w:rFonts w:hint="eastAsia" w:ascii="宋体" w:hAnsi="宋体" w:eastAsia="宋体" w:cs="宋体"/>
          <w:kern w:val="0"/>
          <w:sz w:val="24"/>
          <w:szCs w:val="24"/>
          <w:lang w:val="en-US" w:eastAsia="zh-CN"/>
        </w:rPr>
        <w:t>3.16</w:t>
      </w:r>
      <w:r>
        <w:rPr>
          <w:rFonts w:hint="eastAsia" w:ascii="宋体" w:hAnsi="宋体" w:eastAsia="宋体" w:cs="宋体"/>
          <w:kern w:val="0"/>
          <w:sz w:val="24"/>
          <w:szCs w:val="24"/>
        </w:rPr>
        <w:t>万元，较年初预算</w:t>
      </w:r>
      <w:r>
        <w:rPr>
          <w:rFonts w:hint="eastAsia" w:ascii="宋体" w:hAnsi="宋体" w:eastAsia="宋体" w:cs="宋体"/>
          <w:kern w:val="0"/>
          <w:sz w:val="24"/>
          <w:szCs w:val="24"/>
          <w:lang w:val="en-US" w:eastAsia="zh-CN"/>
        </w:rPr>
        <w:t>0.00万元</w:t>
      </w:r>
      <w:r>
        <w:rPr>
          <w:rFonts w:hint="eastAsia" w:ascii="宋体" w:hAnsi="宋体" w:eastAsia="宋体" w:cs="宋体"/>
          <w:kern w:val="0"/>
          <w:sz w:val="24"/>
          <w:szCs w:val="24"/>
        </w:rPr>
        <w:t>增加支出</w:t>
      </w:r>
      <w:r>
        <w:rPr>
          <w:rFonts w:hint="eastAsia" w:ascii="宋体" w:hAnsi="宋体" w:eastAsia="宋体" w:cs="宋体"/>
          <w:kern w:val="0"/>
          <w:sz w:val="24"/>
          <w:szCs w:val="24"/>
          <w:lang w:val="en-US" w:eastAsia="zh-CN"/>
        </w:rPr>
        <w:t>3.16</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较</w:t>
      </w:r>
      <w:r>
        <w:rPr>
          <w:rFonts w:hint="eastAsia" w:ascii="宋体" w:hAnsi="宋体" w:eastAsia="宋体" w:cs="宋体"/>
          <w:kern w:val="0"/>
          <w:sz w:val="24"/>
          <w:szCs w:val="24"/>
          <w:lang w:eastAsia="zh-CN"/>
        </w:rPr>
        <w:t>上年</w:t>
      </w:r>
      <w:r>
        <w:rPr>
          <w:rFonts w:hint="eastAsia" w:ascii="宋体" w:hAnsi="宋体" w:eastAsia="宋体" w:cs="宋体"/>
          <w:kern w:val="0"/>
          <w:sz w:val="24"/>
          <w:szCs w:val="24"/>
          <w:lang w:val="en-US" w:eastAsia="zh-CN"/>
        </w:rPr>
        <w:t>2.19万元</w:t>
      </w:r>
      <w:r>
        <w:rPr>
          <w:rFonts w:hint="eastAsia" w:ascii="宋体" w:hAnsi="宋体" w:eastAsia="宋体" w:cs="宋体"/>
          <w:kern w:val="0"/>
          <w:sz w:val="24"/>
          <w:szCs w:val="24"/>
        </w:rPr>
        <w:t>增加支出</w:t>
      </w:r>
      <w:r>
        <w:rPr>
          <w:rFonts w:hint="eastAsia" w:ascii="宋体" w:hAnsi="宋体" w:eastAsia="宋体" w:cs="宋体"/>
          <w:kern w:val="0"/>
          <w:sz w:val="24"/>
          <w:szCs w:val="24"/>
          <w:lang w:val="en-US" w:eastAsia="zh-CN"/>
        </w:rPr>
        <w:t>0.97</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增长</w:t>
      </w:r>
      <w:r>
        <w:rPr>
          <w:rFonts w:hint="eastAsia" w:ascii="宋体" w:hAnsi="宋体" w:eastAsia="宋体" w:cs="宋体"/>
          <w:kern w:val="0"/>
          <w:sz w:val="24"/>
          <w:szCs w:val="24"/>
          <w:lang w:val="en-US" w:eastAsia="zh-CN"/>
        </w:rPr>
        <w:t>44.29%，</w:t>
      </w:r>
      <w:r>
        <w:rPr>
          <w:rFonts w:hint="eastAsia" w:ascii="宋体" w:hAnsi="宋体" w:eastAsia="宋体" w:cs="宋体"/>
          <w:kern w:val="0"/>
          <w:sz w:val="24"/>
          <w:szCs w:val="24"/>
        </w:rPr>
        <w:t>主要是</w:t>
      </w:r>
      <w:r>
        <w:rPr>
          <w:rFonts w:hint="eastAsia" w:ascii="宋体" w:hAnsi="宋体" w:eastAsia="宋体" w:cs="宋体"/>
          <w:kern w:val="0"/>
          <w:sz w:val="24"/>
          <w:szCs w:val="24"/>
          <w:lang w:eastAsia="zh-CN"/>
        </w:rPr>
        <w:t>外出</w:t>
      </w:r>
      <w:r>
        <w:rPr>
          <w:rFonts w:hint="eastAsia" w:ascii="宋体" w:hAnsi="宋体" w:eastAsia="宋体" w:cs="宋体"/>
          <w:kern w:val="0"/>
          <w:sz w:val="24"/>
          <w:szCs w:val="24"/>
        </w:rPr>
        <w:t>参加各培训班而增加的培训费用</w:t>
      </w:r>
      <w:r>
        <w:rPr>
          <w:rFonts w:hint="eastAsia" w:ascii="宋体" w:hAnsi="宋体" w:eastAsia="宋体" w:cs="宋体"/>
          <w:kern w:val="0"/>
          <w:sz w:val="24"/>
          <w:szCs w:val="24"/>
          <w:lang w:eastAsia="zh-CN"/>
        </w:rPr>
        <w:t>等。</w:t>
      </w:r>
    </w:p>
    <w:p>
      <w:pPr>
        <w:widowControl/>
        <w:numPr>
          <w:ilvl w:val="0"/>
          <w:numId w:val="0"/>
        </w:numPr>
        <w:spacing w:before="240" w:after="240"/>
        <w:ind w:leftChars="200"/>
        <w:jc w:val="left"/>
        <w:rPr>
          <w:rFonts w:ascii="Times New Roman" w:hAnsi="Times New Roman" w:eastAsia="Times New Roman" w:cs="Times New Roman"/>
          <w:kern w:val="0"/>
          <w:sz w:val="24"/>
          <w:szCs w:val="24"/>
        </w:rPr>
      </w:pPr>
      <w:r>
        <w:drawing>
          <wp:inline distT="0" distB="0" distL="114300" distR="114300">
            <wp:extent cx="4779010" cy="1362710"/>
            <wp:effectExtent l="4445" t="4445" r="17145" b="23495"/>
            <wp:docPr id="1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widowControl/>
        <w:spacing w:before="240" w:after="240"/>
        <w:jc w:val="left"/>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4</w:t>
      </w:r>
      <w:r>
        <w:rPr>
          <w:rFonts w:ascii="宋体" w:hAnsi="宋体" w:eastAsia="宋体" w:cs="宋体"/>
          <w:kern w:val="0"/>
          <w:sz w:val="24"/>
          <w:szCs w:val="24"/>
        </w:rPr>
        <w:t>）其他对单位影响较大的支出情况</w:t>
      </w:r>
      <w:r>
        <w:rPr>
          <w:rFonts w:hint="eastAsia" w:ascii="宋体" w:hAnsi="宋体" w:eastAsia="宋体" w:cs="宋体"/>
          <w:kern w:val="0"/>
          <w:sz w:val="24"/>
          <w:szCs w:val="24"/>
          <w:lang w:eastAsia="zh-CN"/>
        </w:rPr>
        <w:t>：无</w:t>
      </w:r>
    </w:p>
    <w:p>
      <w:pPr>
        <w:widowControl/>
        <w:spacing w:before="240" w:after="240"/>
        <w:jc w:val="left"/>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t>         </w:t>
      </w:r>
      <w:r>
        <w:rPr>
          <w:rFonts w:ascii="宋体" w:hAnsi="宋体" w:eastAsia="宋体" w:cs="宋体"/>
          <w:kern w:val="0"/>
          <w:sz w:val="24"/>
          <w:szCs w:val="24"/>
        </w:rPr>
        <w:t>（</w:t>
      </w:r>
      <w:r>
        <w:rPr>
          <w:rFonts w:ascii="Times New Roman" w:hAnsi="Times New Roman" w:eastAsia="Times New Roman" w:cs="Times New Roman"/>
          <w:kern w:val="0"/>
          <w:sz w:val="24"/>
          <w:szCs w:val="24"/>
        </w:rPr>
        <w:t>5</w:t>
      </w:r>
      <w:r>
        <w:rPr>
          <w:rFonts w:ascii="宋体" w:hAnsi="宋体" w:eastAsia="宋体" w:cs="宋体"/>
          <w:kern w:val="0"/>
          <w:sz w:val="24"/>
          <w:szCs w:val="24"/>
        </w:rPr>
        <w:t>）重点经济分类支出中存在的问题及改进措施</w:t>
      </w:r>
      <w:r>
        <w:rPr>
          <w:rFonts w:hint="eastAsia" w:ascii="宋体" w:hAnsi="宋体" w:eastAsia="宋体" w:cs="宋体"/>
          <w:kern w:val="0"/>
          <w:sz w:val="24"/>
          <w:szCs w:val="24"/>
          <w:lang w:eastAsia="zh-CN"/>
        </w:rPr>
        <w:t>：无</w:t>
      </w:r>
    </w:p>
    <w:p>
      <w:pPr>
        <w:pStyle w:val="6"/>
        <w:keepNext w:val="0"/>
        <w:keepLines w:val="0"/>
        <w:widowControl/>
        <w:spacing w:before="319" w:after="319"/>
        <w:jc w:val="left"/>
        <w:rPr>
          <w:rFonts w:ascii="Times New Roman" w:hAnsi="Times New Roman" w:eastAsia="Times New Roman" w:cs="Times New Roman"/>
          <w:b/>
          <w:bCs/>
          <w:kern w:val="0"/>
          <w:sz w:val="24"/>
          <w:szCs w:val="24"/>
        </w:rPr>
      </w:pPr>
      <w:r>
        <w:rPr>
          <w:rFonts w:ascii="Times New Roman" w:hAnsi="Times New Roman" w:eastAsia="Times New Roman" w:cs="Times New Roman"/>
          <w:b/>
          <w:bCs/>
          <w:i w:val="0"/>
          <w:iCs w:val="0"/>
          <w:color w:val="auto"/>
          <w:kern w:val="0"/>
          <w:sz w:val="24"/>
          <w:szCs w:val="24"/>
        </w:rPr>
        <w:t>           4.</w:t>
      </w:r>
      <w:r>
        <w:rPr>
          <w:rFonts w:ascii="宋体" w:hAnsi="宋体" w:eastAsia="宋体" w:cs="宋体"/>
          <w:b/>
          <w:bCs/>
          <w:i w:val="0"/>
          <w:iCs w:val="0"/>
          <w:color w:val="auto"/>
          <w:kern w:val="0"/>
          <w:sz w:val="24"/>
          <w:szCs w:val="24"/>
        </w:rPr>
        <w:t>财政拨款收入、支出分析。</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根据报表项目分析财政拨款收入、支出情况，支出要按照基本支出和项目支出分析具体构成及特点。</w:t>
      </w:r>
    </w:p>
    <w:p>
      <w:pPr>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本年度收入（支出）3,964.63万元，各项收入（支出）占比如下：</w:t>
      </w:r>
    </w:p>
    <w:p>
      <w:pPr>
        <w:ind w:firstLine="480" w:firstLineChars="200"/>
        <w:rPr>
          <w:rFonts w:hint="eastAsia" w:ascii="宋体" w:hAnsi="宋体" w:eastAsia="宋体" w:cs="宋体"/>
          <w:kern w:val="0"/>
          <w:sz w:val="24"/>
          <w:szCs w:val="24"/>
          <w:lang w:val="en-US" w:eastAsia="zh-CN" w:bidi="ar-SA"/>
        </w:rPr>
      </w:pPr>
      <w:r>
        <w:rPr>
          <w:rFonts w:hint="default" w:ascii="Calibri" w:hAnsi="Calibri" w:eastAsia="宋体" w:cs="Calibri"/>
          <w:kern w:val="0"/>
          <w:sz w:val="24"/>
          <w:szCs w:val="24"/>
          <w:lang w:val="en-US" w:eastAsia="zh-CN" w:bidi="ar-SA"/>
        </w:rPr>
        <w:t>①</w:t>
      </w:r>
      <w:r>
        <w:rPr>
          <w:rFonts w:hint="eastAsia" w:ascii="宋体" w:hAnsi="宋体" w:eastAsia="宋体" w:cs="宋体"/>
          <w:kern w:val="0"/>
          <w:sz w:val="24"/>
          <w:szCs w:val="24"/>
          <w:lang w:val="en-US" w:eastAsia="zh-CN" w:bidi="ar-SA"/>
        </w:rPr>
        <w:t>资金来源划分：本年度财政拨款收入（支出）3,964.63万元，占100%；</w:t>
      </w:r>
    </w:p>
    <w:p>
      <w:pPr>
        <w:ind w:firstLine="480" w:firstLineChars="200"/>
        <w:rPr>
          <w:rFonts w:hint="eastAsia" w:ascii="宋体" w:hAnsi="宋体" w:eastAsia="宋体" w:cs="宋体"/>
          <w:kern w:val="0"/>
          <w:sz w:val="24"/>
          <w:szCs w:val="24"/>
          <w:lang w:val="en-US" w:eastAsia="zh-CN" w:bidi="ar-SA"/>
        </w:rPr>
      </w:pPr>
      <w:r>
        <w:rPr>
          <w:rFonts w:hint="default" w:ascii="Calibri" w:hAnsi="Calibri" w:eastAsia="宋体" w:cs="Calibri"/>
          <w:kern w:val="0"/>
          <w:sz w:val="24"/>
          <w:szCs w:val="24"/>
          <w:lang w:val="en-US" w:eastAsia="zh-CN" w:bidi="ar-SA"/>
        </w:rPr>
        <w:t>②</w:t>
      </w:r>
      <w:r>
        <w:rPr>
          <w:rFonts w:hint="eastAsia" w:ascii="宋体" w:hAnsi="宋体" w:eastAsia="宋体" w:cs="宋体"/>
          <w:kern w:val="0"/>
          <w:sz w:val="24"/>
          <w:szCs w:val="24"/>
          <w:lang w:val="en-US" w:eastAsia="zh-CN" w:bidi="ar-SA"/>
        </w:rPr>
        <w:t>按支出性质划分，基本支出335.44万元，占8.46%，项目支出3,629.18万元，占91.54%。</w:t>
      </w:r>
    </w:p>
    <w:p>
      <w:pPr>
        <w:ind w:firstLine="480" w:firstLineChars="200"/>
        <w:rPr>
          <w:rFonts w:hint="eastAsia" w:ascii="仿宋" w:hAnsi="仿宋" w:eastAsia="仿宋" w:cs="仿宋"/>
          <w:sz w:val="32"/>
          <w:szCs w:val="32"/>
        </w:rPr>
      </w:pPr>
      <w:r>
        <w:rPr>
          <w:rFonts w:hint="default" w:ascii="Calibri" w:hAnsi="Calibri" w:eastAsia="宋体" w:cs="Calibri"/>
          <w:kern w:val="0"/>
          <w:sz w:val="24"/>
          <w:szCs w:val="24"/>
          <w:lang w:val="en-US" w:eastAsia="zh-CN" w:bidi="ar-SA"/>
        </w:rPr>
        <w:t>③</w:t>
      </w:r>
      <w:r>
        <w:rPr>
          <w:rFonts w:hint="eastAsia" w:ascii="宋体" w:hAnsi="宋体" w:eastAsia="宋体" w:cs="宋体"/>
          <w:kern w:val="0"/>
          <w:sz w:val="24"/>
          <w:szCs w:val="24"/>
          <w:lang w:val="en-US" w:eastAsia="zh-CN" w:bidi="ar-SA"/>
        </w:rPr>
        <w:t>按支出经济分类：工资福利支出251.46万元，占6.34%；商品和服务支出126.58万元，占3.19%；对个人和家庭的补助支出51.24万元，占1.29%；对企业补助887.30万元，占22.38%；资本性支出2648.04，占66.79%。</w:t>
      </w:r>
    </w:p>
    <w:p>
      <w:pPr>
        <w:ind w:firstLine="480" w:firstLineChars="200"/>
        <w:rPr>
          <w:rFonts w:ascii="宋体" w:hAnsi="宋体" w:eastAsia="宋体" w:cs="宋体"/>
          <w:kern w:val="0"/>
          <w:sz w:val="24"/>
          <w:szCs w:val="24"/>
        </w:rPr>
      </w:pPr>
      <w:r>
        <w:rPr>
          <w:rFonts w:hint="eastAsia" w:ascii="宋体" w:hAnsi="宋体" w:eastAsia="宋体" w:cs="宋体"/>
          <w:kern w:val="0"/>
          <w:sz w:val="24"/>
          <w:szCs w:val="24"/>
          <w:lang w:val="en-US" w:eastAsia="zh-CN" w:bidi="ar-SA"/>
        </w:rPr>
        <w:t>本年度财政拨款收入（支出）增减变化总体情况，详见“本年预算与上年预算对比”、“本年支出与本年预算对比”、“本年支出与上年支出对比”分析内容（本处省略）。</w:t>
      </w:r>
    </w:p>
    <w:p>
      <w:pPr>
        <w:pStyle w:val="6"/>
        <w:keepNext w:val="0"/>
        <w:keepLines w:val="0"/>
        <w:widowControl/>
        <w:spacing w:before="319" w:after="319"/>
        <w:jc w:val="left"/>
        <w:rPr>
          <w:rFonts w:hint="eastAsia" w:ascii="Times New Roman" w:hAnsi="Times New Roman" w:eastAsia="宋体" w:cs="Times New Roman"/>
          <w:kern w:val="0"/>
          <w:sz w:val="24"/>
          <w:szCs w:val="24"/>
          <w:lang w:eastAsia="zh-CN"/>
        </w:rPr>
      </w:pPr>
      <w:r>
        <w:rPr>
          <w:rFonts w:ascii="Times New Roman" w:hAnsi="Times New Roman" w:eastAsia="Times New Roman" w:cs="Times New Roman"/>
          <w:b/>
          <w:bCs/>
          <w:i w:val="0"/>
          <w:iCs w:val="0"/>
          <w:color w:val="auto"/>
          <w:kern w:val="0"/>
          <w:sz w:val="24"/>
          <w:szCs w:val="24"/>
        </w:rPr>
        <w:t>           5.</w:t>
      </w:r>
      <w:r>
        <w:rPr>
          <w:rFonts w:ascii="宋体" w:hAnsi="宋体" w:eastAsia="宋体" w:cs="宋体"/>
          <w:b/>
          <w:bCs/>
          <w:i w:val="0"/>
          <w:iCs w:val="0"/>
          <w:color w:val="auto"/>
          <w:kern w:val="0"/>
          <w:sz w:val="24"/>
          <w:szCs w:val="24"/>
        </w:rPr>
        <w:t>非财政拨款收入分析</w:t>
      </w:r>
      <w:r>
        <w:rPr>
          <w:rFonts w:hint="eastAsia" w:ascii="宋体" w:hAnsi="宋体" w:eastAsia="宋体" w:cs="宋体"/>
          <w:b/>
          <w:bCs/>
          <w:i w:val="0"/>
          <w:iCs w:val="0"/>
          <w:color w:val="auto"/>
          <w:kern w:val="0"/>
          <w:sz w:val="24"/>
          <w:szCs w:val="24"/>
          <w:lang w:eastAsia="zh-CN"/>
        </w:rPr>
        <w:t>：</w:t>
      </w:r>
      <w:r>
        <w:rPr>
          <w:rFonts w:hint="eastAsia" w:ascii="宋体" w:hAnsi="宋体" w:eastAsia="宋体" w:cs="宋体"/>
          <w:b/>
          <w:bCs/>
          <w:i w:val="0"/>
          <w:iCs w:val="0"/>
          <w:color w:val="auto"/>
          <w:kern w:val="0"/>
          <w:sz w:val="24"/>
          <w:szCs w:val="24"/>
        </w:rPr>
        <w:t>无非财政拨款资金</w:t>
      </w:r>
      <w:r>
        <w:rPr>
          <w:rFonts w:hint="eastAsia" w:ascii="宋体" w:hAnsi="宋体" w:eastAsia="宋体" w:cs="宋体"/>
          <w:b/>
          <w:bCs/>
          <w:i w:val="0"/>
          <w:iCs w:val="0"/>
          <w:color w:val="auto"/>
          <w:kern w:val="0"/>
          <w:sz w:val="24"/>
          <w:szCs w:val="24"/>
          <w:lang w:eastAsia="zh-CN"/>
        </w:rPr>
        <w:t>。</w:t>
      </w:r>
    </w:p>
    <w:p>
      <w:pPr>
        <w:pStyle w:val="5"/>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（三）年末结转和结余情况。</w:t>
      </w:r>
    </w:p>
    <w:p>
      <w:pPr>
        <w:widowControl/>
        <w:spacing w:before="240" w:after="240"/>
        <w:jc w:val="left"/>
        <w:rPr>
          <w:rFonts w:hint="eastAsia" w:ascii="宋体" w:hAnsi="宋体" w:eastAsia="宋体" w:cs="宋体"/>
          <w:kern w:val="0"/>
          <w:sz w:val="24"/>
          <w:szCs w:val="24"/>
          <w:lang w:eastAsia="zh-CN"/>
        </w:rPr>
      </w:pPr>
      <w:r>
        <w:rPr>
          <w:rFonts w:ascii="Times New Roman" w:hAnsi="Times New Roman" w:eastAsia="Times New Roman" w:cs="Times New Roman"/>
          <w:kern w:val="0"/>
          <w:sz w:val="24"/>
          <w:szCs w:val="24"/>
        </w:rPr>
        <w:t>           1</w:t>
      </w:r>
      <w:r>
        <w:rPr>
          <w:rFonts w:ascii="宋体" w:hAnsi="宋体" w:eastAsia="宋体" w:cs="宋体"/>
          <w:kern w:val="0"/>
          <w:sz w:val="24"/>
          <w:szCs w:val="24"/>
        </w:rPr>
        <w:t>．根据报表项目分财政拨款结转结余和非财政拨款结转结余分析年末结转结余总体情况。按照资金来源、资金性质分析，分别分析基本支出、项目支出结转和结余情况，特别是项目经费结转和结余情况</w:t>
      </w:r>
      <w:r>
        <w:rPr>
          <w:rFonts w:hint="eastAsia" w:ascii="宋体" w:hAnsi="宋体" w:eastAsia="宋体" w:cs="宋体"/>
          <w:kern w:val="0"/>
          <w:sz w:val="24"/>
          <w:szCs w:val="24"/>
          <w:lang w:eastAsia="zh-CN"/>
        </w:rPr>
        <w:t>：无。</w:t>
      </w:r>
    </w:p>
    <w:p>
      <w:pPr>
        <w:widowControl/>
        <w:spacing w:before="240" w:after="240"/>
        <w:jc w:val="left"/>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t>           2</w:t>
      </w:r>
      <w:r>
        <w:rPr>
          <w:rFonts w:ascii="宋体" w:hAnsi="宋体" w:eastAsia="宋体" w:cs="宋体"/>
          <w:kern w:val="0"/>
          <w:sz w:val="24"/>
          <w:szCs w:val="24"/>
        </w:rPr>
        <w:t>．消化结转和结余的对策</w:t>
      </w:r>
      <w:r>
        <w:rPr>
          <w:rFonts w:hint="eastAsia" w:ascii="宋体" w:hAnsi="宋体" w:eastAsia="宋体" w:cs="宋体"/>
          <w:kern w:val="0"/>
          <w:sz w:val="24"/>
          <w:szCs w:val="24"/>
          <w:lang w:eastAsia="zh-CN"/>
        </w:rPr>
        <w:t>：无。</w:t>
      </w:r>
    </w:p>
    <w:p>
      <w:pPr>
        <w:pStyle w:val="5"/>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（四）与预算支出相关的其他指标分析。</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对资产、负债信息进行分析，主要分析与上年度对比情况，包括增减绝对值与幅度，增减变动主要原因。</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1、资产部分：</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default" w:ascii="Calibri" w:hAnsi="Calibri" w:eastAsia="Times New Roman" w:cs="Calibri"/>
          <w:kern w:val="0"/>
          <w:sz w:val="24"/>
          <w:szCs w:val="24"/>
        </w:rPr>
        <w:t>①</w:t>
      </w:r>
      <w:r>
        <w:rPr>
          <w:rFonts w:hint="eastAsia" w:ascii="Times New Roman" w:hAnsi="Times New Roman" w:eastAsia="Times New Roman" w:cs="Times New Roman"/>
          <w:kern w:val="0"/>
          <w:sz w:val="24"/>
          <w:szCs w:val="24"/>
        </w:rPr>
        <w:t>货币资金：年末货币资金</w:t>
      </w:r>
      <w:r>
        <w:rPr>
          <w:rFonts w:hint="eastAsia" w:ascii="Times New Roman" w:hAnsi="Times New Roman" w:eastAsia="宋体" w:cs="Times New Roman"/>
          <w:kern w:val="0"/>
          <w:sz w:val="24"/>
          <w:szCs w:val="24"/>
          <w:lang w:val="en-US" w:eastAsia="zh-CN"/>
        </w:rPr>
        <w:t>10.33</w:t>
      </w:r>
      <w:r>
        <w:rPr>
          <w:rFonts w:hint="eastAsia" w:ascii="Times New Roman" w:hAnsi="Times New Roman" w:eastAsia="Times New Roman" w:cs="Times New Roman"/>
          <w:kern w:val="0"/>
          <w:sz w:val="24"/>
          <w:szCs w:val="24"/>
        </w:rPr>
        <w:t>万元，全部为银行存款余额，较上年余额</w:t>
      </w:r>
      <w:r>
        <w:rPr>
          <w:rFonts w:hint="eastAsia" w:ascii="Times New Roman" w:hAnsi="Times New Roman" w:eastAsia="宋体" w:cs="Times New Roman"/>
          <w:kern w:val="0"/>
          <w:sz w:val="24"/>
          <w:szCs w:val="24"/>
          <w:lang w:val="en-US" w:eastAsia="zh-CN"/>
        </w:rPr>
        <w:t>1.67</w:t>
      </w:r>
      <w:r>
        <w:rPr>
          <w:rFonts w:hint="eastAsia" w:ascii="Times New Roman" w:hAnsi="Times New Roman" w:eastAsia="Times New Roman" w:cs="Times New Roman"/>
          <w:kern w:val="0"/>
          <w:sz w:val="24"/>
          <w:szCs w:val="24"/>
        </w:rPr>
        <w:t>万元对比</w:t>
      </w:r>
      <w:r>
        <w:rPr>
          <w:rFonts w:hint="eastAsia" w:ascii="Times New Roman" w:hAnsi="Times New Roman" w:eastAsia="宋体" w:cs="Times New Roman"/>
          <w:kern w:val="0"/>
          <w:sz w:val="24"/>
          <w:szCs w:val="24"/>
          <w:lang w:eastAsia="zh-CN"/>
        </w:rPr>
        <w:t>增加</w:t>
      </w:r>
      <w:r>
        <w:rPr>
          <w:rFonts w:hint="eastAsia" w:ascii="Times New Roman" w:hAnsi="Times New Roman" w:eastAsia="宋体" w:cs="Times New Roman"/>
          <w:kern w:val="0"/>
          <w:sz w:val="24"/>
          <w:szCs w:val="24"/>
          <w:lang w:val="en-US" w:eastAsia="zh-CN"/>
        </w:rPr>
        <w:t>8.66</w:t>
      </w:r>
      <w:r>
        <w:rPr>
          <w:rFonts w:hint="eastAsia" w:ascii="Times New Roman" w:hAnsi="Times New Roman" w:eastAsia="Times New Roman" w:cs="Times New Roman"/>
          <w:kern w:val="0"/>
          <w:sz w:val="24"/>
          <w:szCs w:val="24"/>
        </w:rPr>
        <w:t>万元，主要是年末剩余银行存款包含应上缴国库盛谷沃农业有限公司偿还义隆永粮库租金6</w:t>
      </w:r>
      <w:r>
        <w:rPr>
          <w:rFonts w:hint="eastAsia" w:ascii="Times New Roman" w:hAnsi="Times New Roman" w:eastAsia="宋体" w:cs="Times New Roman"/>
          <w:kern w:val="0"/>
          <w:sz w:val="24"/>
          <w:szCs w:val="24"/>
          <w:lang w:val="en-US" w:eastAsia="zh-CN"/>
        </w:rPr>
        <w:t>.63万元</w:t>
      </w:r>
      <w:r>
        <w:rPr>
          <w:rFonts w:hint="eastAsia" w:ascii="Times New Roman" w:hAnsi="Times New Roman" w:eastAsia="宋体" w:cs="Times New Roman"/>
          <w:kern w:val="0"/>
          <w:sz w:val="24"/>
          <w:szCs w:val="24"/>
          <w:lang w:eastAsia="zh-CN"/>
        </w:rPr>
        <w:t>，以及</w:t>
      </w:r>
      <w:r>
        <w:rPr>
          <w:rFonts w:hint="eastAsia" w:ascii="Times New Roman" w:hAnsi="Times New Roman" w:eastAsia="宋体" w:cs="Times New Roman"/>
          <w:kern w:val="0"/>
          <w:sz w:val="24"/>
          <w:szCs w:val="24"/>
          <w:lang w:val="en-US" w:eastAsia="zh-CN"/>
        </w:rPr>
        <w:t>2023年收到区域经济合作服务中心划拨招商经费5万元，截至年末剩余2.40万元</w:t>
      </w:r>
      <w:r>
        <w:rPr>
          <w:rFonts w:hint="eastAsia" w:ascii="Times New Roman" w:hAnsi="Times New Roman" w:eastAsia="Times New Roman" w:cs="Times New Roman"/>
          <w:kern w:val="0"/>
          <w:sz w:val="24"/>
          <w:szCs w:val="24"/>
        </w:rPr>
        <w:t>。</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 xml:space="preserve"> </w:t>
      </w:r>
      <w:r>
        <w:rPr>
          <w:rFonts w:hint="default" w:ascii="Calibri" w:hAnsi="Calibri" w:eastAsia="Times New Roman" w:cs="Calibri"/>
          <w:kern w:val="0"/>
          <w:sz w:val="24"/>
          <w:szCs w:val="24"/>
        </w:rPr>
        <w:t>②</w:t>
      </w:r>
      <w:r>
        <w:rPr>
          <w:rFonts w:hint="eastAsia" w:ascii="Times New Roman" w:hAnsi="Times New Roman" w:eastAsia="Times New Roman" w:cs="Times New Roman"/>
          <w:kern w:val="0"/>
          <w:sz w:val="24"/>
          <w:szCs w:val="24"/>
        </w:rPr>
        <w:t>其他应收款：年末余额3</w:t>
      </w:r>
      <w:r>
        <w:rPr>
          <w:rFonts w:hint="eastAsia" w:ascii="Times New Roman" w:hAnsi="Times New Roman" w:eastAsia="宋体" w:cs="Times New Roman"/>
          <w:kern w:val="0"/>
          <w:sz w:val="24"/>
          <w:szCs w:val="24"/>
          <w:lang w:val="en-US" w:eastAsia="zh-CN"/>
        </w:rPr>
        <w:t>1</w:t>
      </w:r>
      <w:r>
        <w:rPr>
          <w:rFonts w:hint="eastAsia" w:ascii="Times New Roman" w:hAnsi="Times New Roman" w:eastAsia="Times New Roman" w:cs="Times New Roman"/>
          <w:kern w:val="0"/>
          <w:sz w:val="24"/>
          <w:szCs w:val="24"/>
        </w:rPr>
        <w:t>8.36万元，与上年378.36万元对比减少60万元，欠款形成的主要原因是，原奈曼旗粮油贸易集团总公司（即原粮食局）与所属粮食企业及外部单位所形成的往来欠款，本年度粮食巡察整改确认通辽华通粮油有限公司欠款为2742349.90元，承诺分期还款，并签订协议书，于2026年3月5日前偿还所有欠款，其中2022年—2025年每年的3月5日前支付欠款60万元，2026年3月5日前还清剩余欠款342349.90元。2022</w:t>
      </w:r>
      <w:r>
        <w:rPr>
          <w:rFonts w:hint="eastAsia" w:ascii="Times New Roman" w:hAnsi="Times New Roman" w:eastAsia="宋体" w:cs="Times New Roman"/>
          <w:kern w:val="0"/>
          <w:sz w:val="24"/>
          <w:szCs w:val="24"/>
          <w:lang w:val="en-US" w:eastAsia="zh-CN"/>
        </w:rPr>
        <w:t>-2023年</w:t>
      </w:r>
      <w:r>
        <w:rPr>
          <w:rFonts w:hint="eastAsia" w:ascii="Times New Roman" w:hAnsi="Times New Roman" w:eastAsia="Times New Roman" w:cs="Times New Roman"/>
          <w:kern w:val="0"/>
          <w:sz w:val="24"/>
          <w:szCs w:val="24"/>
        </w:rPr>
        <w:t>该公司已按约定偿还欠款</w:t>
      </w:r>
      <w:r>
        <w:rPr>
          <w:rFonts w:hint="eastAsia" w:ascii="Times New Roman" w:hAnsi="Times New Roman" w:eastAsia="宋体" w:cs="Times New Roman"/>
          <w:kern w:val="0"/>
          <w:sz w:val="24"/>
          <w:szCs w:val="24"/>
          <w:lang w:val="en-US" w:eastAsia="zh-CN"/>
        </w:rPr>
        <w:t>12</w:t>
      </w:r>
      <w:r>
        <w:rPr>
          <w:rFonts w:hint="eastAsia" w:ascii="Times New Roman" w:hAnsi="Times New Roman" w:eastAsia="Times New Roman" w:cs="Times New Roman"/>
          <w:kern w:val="0"/>
          <w:sz w:val="24"/>
          <w:szCs w:val="24"/>
        </w:rPr>
        <w:t>0万元。</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 xml:space="preserve">  </w:t>
      </w:r>
      <w:r>
        <w:rPr>
          <w:rFonts w:hint="default" w:ascii="Calibri" w:hAnsi="Calibri" w:eastAsia="Times New Roman" w:cs="Calibri"/>
          <w:kern w:val="0"/>
          <w:sz w:val="24"/>
          <w:szCs w:val="24"/>
        </w:rPr>
        <w:t>③</w:t>
      </w:r>
      <w:r>
        <w:rPr>
          <w:rFonts w:hint="eastAsia" w:ascii="Times New Roman" w:hAnsi="Times New Roman" w:eastAsia="Times New Roman" w:cs="Times New Roman"/>
          <w:kern w:val="0"/>
          <w:sz w:val="24"/>
          <w:szCs w:val="24"/>
        </w:rPr>
        <w:t>待摊费用：年末余额</w:t>
      </w:r>
      <w:r>
        <w:rPr>
          <w:rFonts w:hint="eastAsia" w:ascii="Times New Roman" w:hAnsi="Times New Roman" w:eastAsia="宋体" w:cs="Times New Roman"/>
          <w:kern w:val="0"/>
          <w:sz w:val="24"/>
          <w:szCs w:val="24"/>
          <w:lang w:val="en-US" w:eastAsia="zh-CN"/>
        </w:rPr>
        <w:t>0.88</w:t>
      </w:r>
      <w:r>
        <w:rPr>
          <w:rFonts w:hint="eastAsia" w:ascii="Times New Roman" w:hAnsi="Times New Roman" w:eastAsia="Times New Roman" w:cs="Times New Roman"/>
          <w:kern w:val="0"/>
          <w:sz w:val="24"/>
          <w:szCs w:val="24"/>
        </w:rPr>
        <w:t>万元，较上年1.63</w:t>
      </w:r>
      <w:r>
        <w:rPr>
          <w:rFonts w:hint="eastAsia" w:ascii="Times New Roman" w:hAnsi="Times New Roman" w:eastAsia="宋体" w:cs="Times New Roman"/>
          <w:kern w:val="0"/>
          <w:sz w:val="24"/>
          <w:szCs w:val="24"/>
          <w:lang w:eastAsia="zh-CN"/>
        </w:rPr>
        <w:t>万元</w:t>
      </w:r>
      <w:r>
        <w:rPr>
          <w:rFonts w:hint="eastAsia" w:ascii="Times New Roman" w:hAnsi="Times New Roman" w:eastAsia="Times New Roman" w:cs="Times New Roman"/>
          <w:kern w:val="0"/>
          <w:sz w:val="24"/>
          <w:szCs w:val="24"/>
        </w:rPr>
        <w:t>对比</w:t>
      </w:r>
      <w:r>
        <w:rPr>
          <w:rFonts w:hint="eastAsia" w:ascii="Times New Roman" w:hAnsi="Times New Roman" w:eastAsia="宋体" w:cs="Times New Roman"/>
          <w:kern w:val="0"/>
          <w:sz w:val="24"/>
          <w:szCs w:val="24"/>
          <w:lang w:eastAsia="zh-CN"/>
        </w:rPr>
        <w:t>减少</w:t>
      </w:r>
      <w:r>
        <w:rPr>
          <w:rFonts w:hint="eastAsia" w:ascii="Times New Roman" w:hAnsi="Times New Roman" w:eastAsia="宋体" w:cs="Times New Roman"/>
          <w:kern w:val="0"/>
          <w:sz w:val="24"/>
          <w:szCs w:val="24"/>
          <w:lang w:val="en-US" w:eastAsia="zh-CN"/>
        </w:rPr>
        <w:t>0.75</w:t>
      </w:r>
      <w:r>
        <w:rPr>
          <w:rFonts w:hint="eastAsia" w:ascii="Times New Roman" w:hAnsi="Times New Roman" w:eastAsia="Times New Roman" w:cs="Times New Roman"/>
          <w:kern w:val="0"/>
          <w:sz w:val="24"/>
          <w:szCs w:val="24"/>
        </w:rPr>
        <w:t>万元，为待摊的公务车燃油费。</w:t>
      </w:r>
    </w:p>
    <w:p>
      <w:pPr>
        <w:keepNext w:val="0"/>
        <w:keepLines w:val="0"/>
        <w:pageBreakBefore w:val="0"/>
        <w:widowControl/>
        <w:kinsoku/>
        <w:wordWrap/>
        <w:overflowPunct/>
        <w:topLinePunct w:val="0"/>
        <w:autoSpaceDE/>
        <w:autoSpaceDN/>
        <w:bidi w:val="0"/>
        <w:adjustRightInd/>
        <w:snapToGrid/>
        <w:spacing w:before="240" w:after="240"/>
        <w:ind w:firstLine="640" w:firstLineChars="200"/>
        <w:jc w:val="left"/>
        <w:textAlignment w:val="auto"/>
        <w:rPr>
          <w:rFonts w:hint="eastAsia" w:ascii="Times New Roman" w:hAnsi="Times New Roman" w:eastAsia="Times New Roman" w:cs="Times New Roman"/>
          <w:kern w:val="0"/>
          <w:sz w:val="24"/>
          <w:szCs w:val="24"/>
        </w:rPr>
      </w:pPr>
      <w:r>
        <w:rPr>
          <w:rFonts w:hint="eastAsia" w:ascii="微软雅黑" w:hAnsi="微软雅黑" w:eastAsia="微软雅黑" w:cs="微软雅黑"/>
          <w:color w:val="auto"/>
          <w:sz w:val="32"/>
          <w:szCs w:val="32"/>
        </w:rPr>
        <w:t>④</w:t>
      </w:r>
      <w:r>
        <w:rPr>
          <w:rFonts w:hint="eastAsia" w:ascii="Times New Roman" w:hAnsi="Times New Roman" w:eastAsia="Times New Roman" w:cs="Times New Roman"/>
          <w:kern w:val="0"/>
          <w:sz w:val="24"/>
          <w:szCs w:val="24"/>
          <w:lang w:eastAsia="zh-CN"/>
        </w:rPr>
        <w:t>固定资产净值：年末余额</w:t>
      </w:r>
      <w:r>
        <w:rPr>
          <w:rFonts w:hint="eastAsia" w:ascii="Times New Roman" w:hAnsi="Times New Roman" w:eastAsia="Times New Roman" w:cs="Times New Roman"/>
          <w:kern w:val="0"/>
          <w:sz w:val="24"/>
          <w:szCs w:val="24"/>
          <w:lang w:val="en-US" w:eastAsia="zh-CN"/>
        </w:rPr>
        <w:t>7.89万元，较上年7.96万元对比减少0.07万元，主要是本年度购买打印机以及收到乡村振兴局无偿调拨净资产等增加固定资产原值以及正常固定资产折旧。</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 xml:space="preserve">  2、负债部分</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①应付职工薪酬：年末余额0.08万元，</w:t>
      </w:r>
      <w:r>
        <w:rPr>
          <w:rFonts w:hint="eastAsia" w:ascii="Times New Roman" w:hAnsi="Times New Roman" w:eastAsia="宋体" w:cs="Times New Roman"/>
          <w:kern w:val="0"/>
          <w:sz w:val="24"/>
          <w:szCs w:val="24"/>
          <w:lang w:eastAsia="zh-CN"/>
        </w:rPr>
        <w:t>与</w:t>
      </w:r>
      <w:r>
        <w:rPr>
          <w:rFonts w:hint="eastAsia" w:ascii="Times New Roman" w:hAnsi="Times New Roman" w:eastAsia="Times New Roman" w:cs="Times New Roman"/>
          <w:kern w:val="0"/>
          <w:sz w:val="24"/>
          <w:szCs w:val="24"/>
        </w:rPr>
        <w:t>上年</w:t>
      </w:r>
      <w:r>
        <w:rPr>
          <w:rFonts w:hint="eastAsia" w:ascii="Times New Roman" w:hAnsi="Times New Roman" w:eastAsia="宋体" w:cs="Times New Roman"/>
          <w:kern w:val="0"/>
          <w:sz w:val="24"/>
          <w:szCs w:val="24"/>
          <w:lang w:val="en-US" w:eastAsia="zh-CN"/>
        </w:rPr>
        <w:t>0.08</w:t>
      </w:r>
      <w:r>
        <w:rPr>
          <w:rFonts w:hint="eastAsia" w:ascii="Times New Roman" w:hAnsi="Times New Roman" w:eastAsia="Times New Roman" w:cs="Times New Roman"/>
          <w:kern w:val="0"/>
          <w:sz w:val="24"/>
          <w:szCs w:val="24"/>
        </w:rPr>
        <w:t>万元</w:t>
      </w:r>
      <w:r>
        <w:rPr>
          <w:rFonts w:hint="eastAsia" w:ascii="Times New Roman" w:hAnsi="Times New Roman" w:eastAsia="宋体" w:cs="Times New Roman"/>
          <w:kern w:val="0"/>
          <w:sz w:val="24"/>
          <w:szCs w:val="24"/>
          <w:lang w:eastAsia="zh-CN"/>
        </w:rPr>
        <w:t>一致</w:t>
      </w:r>
      <w:r>
        <w:rPr>
          <w:rFonts w:hint="eastAsia" w:ascii="Times New Roman" w:hAnsi="Times New Roman" w:eastAsia="Times New Roman" w:cs="Times New Roman"/>
          <w:kern w:val="0"/>
          <w:sz w:val="24"/>
          <w:szCs w:val="24"/>
        </w:rPr>
        <w:t>。</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②其他应付款：年末余额</w:t>
      </w:r>
      <w:r>
        <w:rPr>
          <w:rFonts w:hint="eastAsia" w:ascii="Times New Roman" w:hAnsi="Times New Roman" w:eastAsia="宋体" w:cs="Times New Roman"/>
          <w:kern w:val="0"/>
          <w:sz w:val="24"/>
          <w:szCs w:val="24"/>
          <w:lang w:val="en-US" w:eastAsia="zh-CN"/>
        </w:rPr>
        <w:t>0.03</w:t>
      </w:r>
      <w:r>
        <w:rPr>
          <w:rFonts w:hint="eastAsia" w:ascii="Times New Roman" w:hAnsi="Times New Roman" w:eastAsia="Times New Roman" w:cs="Times New Roman"/>
          <w:kern w:val="0"/>
          <w:sz w:val="24"/>
          <w:szCs w:val="24"/>
        </w:rPr>
        <w:t>万元，较上年0.04减少</w:t>
      </w:r>
      <w:r>
        <w:rPr>
          <w:rFonts w:hint="eastAsia" w:ascii="Times New Roman" w:hAnsi="Times New Roman" w:eastAsia="宋体" w:cs="Times New Roman"/>
          <w:kern w:val="0"/>
          <w:sz w:val="24"/>
          <w:szCs w:val="24"/>
          <w:lang w:val="en-US" w:eastAsia="zh-CN"/>
        </w:rPr>
        <w:t>0.01</w:t>
      </w:r>
      <w:r>
        <w:rPr>
          <w:rFonts w:hint="eastAsia" w:ascii="Times New Roman" w:hAnsi="Times New Roman" w:eastAsia="Times New Roman" w:cs="Times New Roman"/>
          <w:kern w:val="0"/>
          <w:sz w:val="24"/>
          <w:szCs w:val="24"/>
        </w:rPr>
        <w:t>万元，</w:t>
      </w:r>
      <w:r>
        <w:rPr>
          <w:rFonts w:hint="eastAsia" w:ascii="Times New Roman" w:hAnsi="Times New Roman" w:eastAsia="宋体" w:cs="Times New Roman"/>
          <w:kern w:val="0"/>
          <w:sz w:val="24"/>
          <w:szCs w:val="24"/>
          <w:lang w:eastAsia="zh-CN"/>
        </w:rPr>
        <w:t>为退还大镇周志民房产交易代开发票税款及许怡堂、刘振起大额医保费等</w:t>
      </w:r>
      <w:r>
        <w:rPr>
          <w:rFonts w:hint="eastAsia" w:ascii="Times New Roman" w:hAnsi="Times New Roman" w:eastAsia="Times New Roman" w:cs="Times New Roman"/>
          <w:kern w:val="0"/>
          <w:sz w:val="24"/>
          <w:szCs w:val="24"/>
        </w:rPr>
        <w:t>。</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③长期应付款：年末余额162.12万元，与上年一致。</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3、车辆：现有车辆2台，较年初无变化，年末车辆资产原值39.7万元，其中：1、应急保障用车1台，原值23.5万元；2、综合执法车辆1台，原值16.2万元。</w:t>
      </w:r>
    </w:p>
    <w:p>
      <w:pPr>
        <w:pStyle w:val="5"/>
        <w:keepNext w:val="0"/>
        <w:keepLines w:val="0"/>
        <w:widowControl/>
        <w:spacing w:before="281" w:after="281"/>
        <w:jc w:val="left"/>
        <w:rPr>
          <w:rFonts w:ascii="Times New Roman" w:hAnsi="Times New Roman" w:eastAsia="Times New Roman" w:cs="Times New Roman"/>
          <w:b/>
          <w:bCs/>
          <w:kern w:val="0"/>
          <w:sz w:val="28"/>
          <w:szCs w:val="28"/>
        </w:rPr>
      </w:pPr>
      <w:r>
        <w:rPr>
          <w:rFonts w:ascii="Times New Roman" w:hAnsi="Times New Roman" w:eastAsia="Times New Roman" w:cs="Times New Roman"/>
          <w:b/>
          <w:bCs/>
          <w:color w:val="auto"/>
          <w:kern w:val="0"/>
          <w:sz w:val="28"/>
          <w:szCs w:val="28"/>
        </w:rPr>
        <w:t xml:space="preserve">      </w:t>
      </w:r>
      <w:r>
        <w:rPr>
          <w:rFonts w:ascii="宋体" w:hAnsi="宋体" w:eastAsia="宋体" w:cs="宋体"/>
          <w:b/>
          <w:bCs/>
          <w:color w:val="auto"/>
          <w:kern w:val="0"/>
          <w:sz w:val="28"/>
          <w:szCs w:val="28"/>
        </w:rPr>
        <w:t>（五）绩效目标完成情况。</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1.</w:t>
      </w:r>
      <w:r>
        <w:rPr>
          <w:rFonts w:ascii="宋体" w:hAnsi="宋体" w:eastAsia="宋体" w:cs="宋体"/>
          <w:kern w:val="0"/>
          <w:sz w:val="24"/>
          <w:szCs w:val="24"/>
        </w:rPr>
        <w:t>概述项目绩效目标完成情况。</w:t>
      </w:r>
    </w:p>
    <w:p>
      <w:pPr>
        <w:keepNext w:val="0"/>
        <w:keepLines w:val="0"/>
        <w:pageBreakBefore w:val="0"/>
        <w:widowControl/>
        <w:kinsoku/>
        <w:wordWrap/>
        <w:overflowPunct/>
        <w:topLinePunct w:val="0"/>
        <w:autoSpaceDE/>
        <w:autoSpaceDN/>
        <w:bidi w:val="0"/>
        <w:adjustRightInd/>
        <w:snapToGrid/>
        <w:spacing w:before="240" w:after="240"/>
        <w:ind w:firstLine="480" w:firstLineChars="200"/>
        <w:jc w:val="left"/>
        <w:textAlignment w:val="auto"/>
        <w:rPr>
          <w:rFonts w:hint="eastAsia" w:ascii="Times New Roman" w:hAnsi="Times New Roman" w:eastAsia="Times New Roman" w:cs="Times New Roman"/>
          <w:kern w:val="0"/>
          <w:sz w:val="24"/>
          <w:szCs w:val="24"/>
        </w:rPr>
      </w:pPr>
      <w:r>
        <w:rPr>
          <w:rFonts w:hint="eastAsia" w:ascii="Times New Roman" w:hAnsi="Times New Roman" w:eastAsia="Times New Roman" w:cs="Times New Roman"/>
          <w:kern w:val="0"/>
          <w:sz w:val="24"/>
          <w:szCs w:val="24"/>
        </w:rPr>
        <w:t>本年度拨付项目资金</w:t>
      </w:r>
      <w:r>
        <w:rPr>
          <w:rFonts w:hint="eastAsia" w:ascii="Times New Roman" w:hAnsi="Times New Roman" w:eastAsia="Times New Roman" w:cs="Times New Roman"/>
          <w:kern w:val="0"/>
          <w:sz w:val="24"/>
          <w:szCs w:val="24"/>
          <w:lang w:val="en-US" w:eastAsia="zh-CN"/>
        </w:rPr>
        <w:t>3,629.18</w:t>
      </w:r>
      <w:r>
        <w:rPr>
          <w:rFonts w:hint="eastAsia" w:ascii="Times New Roman" w:hAnsi="Times New Roman" w:eastAsia="Times New Roman" w:cs="Times New Roman"/>
          <w:kern w:val="0"/>
          <w:sz w:val="24"/>
          <w:szCs w:val="24"/>
        </w:rPr>
        <w:t>万元，涉及</w:t>
      </w:r>
      <w:r>
        <w:rPr>
          <w:rFonts w:hint="eastAsia" w:ascii="Times New Roman" w:hAnsi="Times New Roman" w:eastAsia="Times New Roman" w:cs="Times New Roman"/>
          <w:kern w:val="0"/>
          <w:sz w:val="24"/>
          <w:szCs w:val="24"/>
          <w:lang w:val="en-US" w:eastAsia="zh-CN"/>
        </w:rPr>
        <w:t>14个项目</w:t>
      </w:r>
      <w:r>
        <w:rPr>
          <w:rFonts w:hint="eastAsia" w:ascii="Times New Roman" w:hAnsi="Times New Roman" w:eastAsia="Times New Roman" w:cs="Times New Roman"/>
          <w:kern w:val="0"/>
          <w:sz w:val="24"/>
          <w:szCs w:val="24"/>
        </w:rPr>
        <w:t>，</w:t>
      </w:r>
      <w:r>
        <w:rPr>
          <w:rFonts w:hint="eastAsia" w:ascii="Times New Roman" w:hAnsi="Times New Roman" w:eastAsia="Times New Roman" w:cs="Times New Roman"/>
          <w:kern w:val="0"/>
          <w:sz w:val="24"/>
          <w:szCs w:val="24"/>
          <w:lang w:eastAsia="zh-CN"/>
        </w:rPr>
        <w:t>所有</w:t>
      </w:r>
      <w:r>
        <w:rPr>
          <w:rFonts w:hint="eastAsia" w:ascii="Times New Roman" w:hAnsi="Times New Roman" w:eastAsia="Times New Roman" w:cs="Times New Roman"/>
          <w:kern w:val="0"/>
          <w:sz w:val="24"/>
          <w:szCs w:val="24"/>
        </w:rPr>
        <w:t>项目资金已按照项目资金管理要求已全额拨付给项目</w:t>
      </w:r>
      <w:r>
        <w:rPr>
          <w:rFonts w:hint="eastAsia" w:ascii="Times New Roman" w:hAnsi="Times New Roman" w:eastAsia="Times New Roman" w:cs="Times New Roman"/>
          <w:kern w:val="0"/>
          <w:sz w:val="24"/>
          <w:szCs w:val="24"/>
          <w:lang w:eastAsia="zh-CN"/>
        </w:rPr>
        <w:t>实</w:t>
      </w:r>
      <w:r>
        <w:rPr>
          <w:rFonts w:hint="eastAsia" w:ascii="Times New Roman" w:hAnsi="Times New Roman" w:eastAsia="Times New Roman" w:cs="Times New Roman"/>
          <w:kern w:val="0"/>
          <w:sz w:val="24"/>
          <w:szCs w:val="24"/>
        </w:rPr>
        <w:t>施单位，充分发挥了项目资金的经济效益和社会效益。</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2.</w:t>
      </w:r>
      <w:r>
        <w:rPr>
          <w:rFonts w:ascii="宋体" w:hAnsi="宋体" w:eastAsia="宋体" w:cs="宋体"/>
          <w:kern w:val="0"/>
          <w:sz w:val="24"/>
          <w:szCs w:val="24"/>
        </w:rPr>
        <w:t>概述本单位整体支出绩效目标实现情况（如有）。</w:t>
      </w:r>
    </w:p>
    <w:p>
      <w:pPr>
        <w:widowControl/>
        <w:spacing w:before="240" w:after="240"/>
        <w:jc w:val="left"/>
        <w:rPr>
          <w:rFonts w:hint="eastAsia" w:ascii="宋体" w:hAnsi="宋体" w:eastAsia="宋体" w:cs="宋体"/>
          <w:kern w:val="0"/>
          <w:sz w:val="24"/>
          <w:szCs w:val="24"/>
          <w:lang w:eastAsia="zh-CN"/>
        </w:rPr>
      </w:pPr>
      <w:r>
        <w:rPr>
          <w:rFonts w:ascii="Times New Roman" w:hAnsi="Times New Roman" w:eastAsia="Times New Roman" w:cs="Times New Roman"/>
          <w:kern w:val="0"/>
          <w:sz w:val="24"/>
          <w:szCs w:val="24"/>
        </w:rPr>
        <w:t>           </w:t>
      </w:r>
      <w:r>
        <w:rPr>
          <w:rFonts w:hint="eastAsia" w:ascii="宋体" w:hAnsi="宋体" w:eastAsia="宋体" w:cs="宋体"/>
          <w:kern w:val="0"/>
          <w:sz w:val="24"/>
          <w:szCs w:val="24"/>
        </w:rPr>
        <w:t>本年度年初预算</w:t>
      </w:r>
      <w:r>
        <w:rPr>
          <w:rFonts w:hint="eastAsia" w:ascii="宋体" w:hAnsi="宋体" w:eastAsia="宋体" w:cs="宋体"/>
          <w:kern w:val="0"/>
          <w:sz w:val="24"/>
          <w:szCs w:val="24"/>
          <w:lang w:val="en-US" w:eastAsia="zh-CN"/>
        </w:rPr>
        <w:t>338.70</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，全年预算144,57</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eastAsia="zh-CN"/>
        </w:rPr>
        <w:t>96万元，全年执行</w:t>
      </w:r>
      <w:r>
        <w:rPr>
          <w:rFonts w:hint="eastAsia" w:ascii="宋体" w:hAnsi="宋体" w:eastAsia="宋体" w:cs="宋体"/>
          <w:kern w:val="0"/>
          <w:sz w:val="24"/>
          <w:szCs w:val="24"/>
        </w:rPr>
        <w:t>收入（支出）</w:t>
      </w:r>
      <w:r>
        <w:rPr>
          <w:rFonts w:hint="eastAsia" w:ascii="宋体" w:hAnsi="宋体" w:eastAsia="宋体" w:cs="宋体"/>
          <w:kern w:val="0"/>
          <w:sz w:val="24"/>
          <w:szCs w:val="24"/>
          <w:lang w:val="en-US" w:eastAsia="zh-CN"/>
        </w:rPr>
        <w:t>3,964.63</w:t>
      </w:r>
      <w:r>
        <w:rPr>
          <w:rFonts w:hint="eastAsia" w:ascii="宋体" w:hAnsi="宋体" w:eastAsia="宋体" w:cs="宋体"/>
          <w:kern w:val="0"/>
          <w:sz w:val="24"/>
          <w:szCs w:val="24"/>
        </w:rPr>
        <w:t>万元，</w:t>
      </w:r>
      <w:r>
        <w:rPr>
          <w:rFonts w:hint="eastAsia" w:ascii="宋体" w:hAnsi="宋体" w:eastAsia="宋体" w:cs="宋体"/>
          <w:kern w:val="0"/>
          <w:sz w:val="24"/>
          <w:szCs w:val="24"/>
          <w:lang w:eastAsia="zh-CN"/>
        </w:rPr>
        <w:t>通过财政拨款收入，有效保障了本单位</w:t>
      </w:r>
      <w:r>
        <w:rPr>
          <w:rFonts w:hint="eastAsia" w:ascii="宋体" w:hAnsi="宋体" w:eastAsia="宋体" w:cs="宋体"/>
          <w:kern w:val="0"/>
          <w:sz w:val="24"/>
          <w:szCs w:val="24"/>
        </w:rPr>
        <w:t>职工工资福利支出正常发放，机关工作正常运转，为商务系统开展商务综合执法工作，改善营商环境等各项工作提供有力保障</w:t>
      </w:r>
      <w:r>
        <w:rPr>
          <w:rFonts w:hint="eastAsia" w:ascii="宋体" w:hAnsi="宋体" w:eastAsia="宋体" w:cs="宋体"/>
          <w:kern w:val="0"/>
          <w:sz w:val="24"/>
          <w:szCs w:val="24"/>
          <w:lang w:eastAsia="zh-CN"/>
        </w:rPr>
        <w:t>。</w:t>
      </w:r>
    </w:p>
    <w:p>
      <w:pPr>
        <w:widowControl/>
        <w:spacing w:before="240" w:after="240"/>
        <w:jc w:val="left"/>
        <w:rPr>
          <w:rFonts w:hint="eastAsia" w:ascii="Times New Roman" w:hAnsi="Times New Roman" w:eastAsia="宋体" w:cs="Times New Roman"/>
          <w:b/>
          <w:bCs/>
          <w:kern w:val="0"/>
          <w:sz w:val="28"/>
          <w:szCs w:val="28"/>
          <w:lang w:eastAsia="zh-CN"/>
        </w:rPr>
      </w:pPr>
      <w:r>
        <w:rPr>
          <w:rFonts w:ascii="宋体" w:hAnsi="宋体" w:eastAsia="宋体" w:cs="宋体"/>
          <w:b/>
          <w:bCs/>
          <w:color w:val="auto"/>
          <w:kern w:val="0"/>
          <w:sz w:val="28"/>
          <w:szCs w:val="28"/>
        </w:rPr>
        <w:t>（六）当年预算执行及绩效管理中存在问题、原因及改进措施</w:t>
      </w:r>
      <w:r>
        <w:rPr>
          <w:rFonts w:hint="eastAsia" w:ascii="宋体" w:hAnsi="宋体" w:eastAsia="宋体" w:cs="宋体"/>
          <w:b/>
          <w:bCs/>
          <w:color w:val="auto"/>
          <w:kern w:val="0"/>
          <w:sz w:val="28"/>
          <w:szCs w:val="28"/>
          <w:lang w:eastAsia="zh-CN"/>
        </w:rPr>
        <w:t>：无</w:t>
      </w:r>
    </w:p>
    <w:p>
      <w:pPr>
        <w:pStyle w:val="4"/>
        <w:keepNext w:val="0"/>
        <w:keepLines w:val="0"/>
        <w:widowControl/>
        <w:spacing w:before="299" w:after="299"/>
        <w:jc w:val="left"/>
        <w:rPr>
          <w:rFonts w:ascii="Times New Roman" w:hAnsi="Times New Roman" w:eastAsia="Times New Roman" w:cs="Times New Roman"/>
          <w:b/>
          <w:bCs/>
          <w:kern w:val="0"/>
          <w:sz w:val="36"/>
          <w:szCs w:val="36"/>
        </w:rPr>
      </w:pPr>
      <w:r>
        <w:rPr>
          <w:rFonts w:ascii="宋体" w:hAnsi="宋体" w:eastAsia="宋体" w:cs="宋体"/>
          <w:b/>
          <w:bCs/>
          <w:color w:val="auto"/>
          <w:kern w:val="0"/>
          <w:sz w:val="36"/>
          <w:szCs w:val="36"/>
        </w:rPr>
        <w:t>三、本年度部门决算等财务工作开展情况</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（一）本单位财务管理、绩效管理、决算组织、编报、审核情况。</w:t>
      </w:r>
    </w:p>
    <w:p>
      <w:pPr>
        <w:widowControl/>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1、加强财务管理，严格执行财政预、决算，进一步控制三公经费和一般性经费支出，按照《政府会计制度》和单位内部控制制度的相关规定进行财务核算、</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开展内部控制工作和绩效管理。</w:t>
      </w:r>
    </w:p>
    <w:p>
      <w:pPr>
        <w:widowControl/>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绩效管理方面，本年度预算算收入和支出全部为财政拨款支付，人员工资按月发放，社保费及时缴纳，项目经费及时拨付并加强监管，确保了机关工作和全旗商务工作正常运行，圆满地完成了全年各项工作任务。</w:t>
      </w:r>
    </w:p>
    <w:p>
      <w:pPr>
        <w:widowControl/>
        <w:spacing w:before="240" w:after="240"/>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3、年终决算工作，按照财政局年终决算通知精神和要求，按质按量完成年终决算工作，及时上报各类财务决算报表、决算说明及决算分析报告。</w:t>
      </w:r>
    </w:p>
    <w:p>
      <w:pPr>
        <w:widowControl/>
        <w:spacing w:before="240" w:after="240"/>
        <w:jc w:val="left"/>
        <w:rPr>
          <w:rFonts w:ascii="宋体" w:hAnsi="宋体" w:eastAsia="宋体" w:cs="宋体"/>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（二）本单位决算及绩效信息公开工作开展情况。</w:t>
      </w:r>
    </w:p>
    <w:p>
      <w:pPr>
        <w:widowControl/>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1、根据财政局通知要求，按收支项目、功能分类、支出性质、公示时间等要求及时做好各年度决算的公示、公开工作，并通过自查自纠，及时补充决算公开遗漏项目和内容。</w:t>
      </w:r>
    </w:p>
    <w:p>
      <w:pPr>
        <w:widowControl/>
        <w:spacing w:before="240" w:after="240"/>
        <w:ind w:firstLine="480" w:firstLineChars="200"/>
        <w:jc w:val="left"/>
        <w:rPr>
          <w:rFonts w:hint="eastAsia" w:ascii="宋体" w:hAnsi="宋体" w:eastAsia="宋体" w:cs="宋体"/>
          <w:kern w:val="0"/>
          <w:sz w:val="24"/>
          <w:szCs w:val="24"/>
        </w:rPr>
      </w:pPr>
      <w:r>
        <w:rPr>
          <w:rFonts w:hint="eastAsia" w:ascii="宋体" w:hAnsi="宋体" w:eastAsia="宋体" w:cs="宋体"/>
          <w:kern w:val="0"/>
          <w:sz w:val="24"/>
          <w:szCs w:val="24"/>
        </w:rPr>
        <w:t>2、根据绩效信息公开工作要求，认真填报绩效自评表，准确反映绩效目标、实施情况并及时公开，充分发挥了财政拨款资金所体现的经济效益、社保效益和群众满意度。</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（三）对部门决算管理工作的意见和建议。</w:t>
      </w:r>
    </w:p>
    <w:p>
      <w:pPr>
        <w:widowControl/>
        <w:pBdr>
          <w:left w:val="none" w:color="auto" w:sz="0" w:space="30"/>
        </w:pBdr>
        <w:spacing w:before="240" w:after="240"/>
        <w:ind w:left="600"/>
        <w:jc w:val="left"/>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t>  1.</w:t>
      </w:r>
      <w:r>
        <w:rPr>
          <w:rFonts w:ascii="宋体" w:hAnsi="宋体" w:eastAsia="宋体" w:cs="宋体"/>
          <w:kern w:val="0"/>
          <w:sz w:val="24"/>
          <w:szCs w:val="24"/>
        </w:rPr>
        <w:t>自行增加的审核公式和模板，请说明设置依据</w:t>
      </w:r>
      <w:r>
        <w:rPr>
          <w:rFonts w:hint="eastAsia" w:ascii="宋体" w:hAnsi="宋体" w:eastAsia="宋体" w:cs="宋体"/>
          <w:kern w:val="0"/>
          <w:sz w:val="24"/>
          <w:szCs w:val="24"/>
          <w:lang w:eastAsia="zh-CN"/>
        </w:rPr>
        <w:t>：无</w:t>
      </w:r>
    </w:p>
    <w:p>
      <w:pPr>
        <w:widowControl/>
        <w:pBdr>
          <w:left w:val="none" w:color="auto" w:sz="0" w:space="30"/>
        </w:pBdr>
        <w:spacing w:before="240" w:after="240"/>
        <w:ind w:left="600"/>
        <w:jc w:val="left"/>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t>  2.</w:t>
      </w:r>
      <w:r>
        <w:rPr>
          <w:rFonts w:ascii="宋体" w:hAnsi="宋体" w:eastAsia="宋体" w:cs="宋体"/>
          <w:kern w:val="0"/>
          <w:sz w:val="24"/>
          <w:szCs w:val="24"/>
        </w:rPr>
        <w:t>对部门决算报表修订设计的意见和建议，包括表样、指标设置、软件、审核公式、模板和编审问答等，请列出并说明修改意见</w:t>
      </w:r>
      <w:r>
        <w:rPr>
          <w:rFonts w:hint="eastAsia" w:ascii="宋体" w:hAnsi="宋体" w:eastAsia="宋体" w:cs="宋体"/>
          <w:kern w:val="0"/>
          <w:sz w:val="24"/>
          <w:szCs w:val="24"/>
          <w:lang w:eastAsia="zh-CN"/>
        </w:rPr>
        <w:t>：无</w:t>
      </w:r>
    </w:p>
    <w:p>
      <w:pPr>
        <w:widowControl/>
        <w:pBdr>
          <w:left w:val="none" w:color="auto" w:sz="0" w:space="30"/>
        </w:pBdr>
        <w:spacing w:before="240" w:after="240"/>
        <w:ind w:left="600"/>
        <w:jc w:val="left"/>
        <w:rPr>
          <w:rFonts w:hint="eastAsia" w:ascii="Times New Roman" w:hAnsi="Times New Roman" w:eastAsia="宋体" w:cs="Times New Roman"/>
          <w:kern w:val="0"/>
          <w:sz w:val="24"/>
          <w:szCs w:val="24"/>
          <w:lang w:eastAsia="zh-CN"/>
        </w:rPr>
      </w:pPr>
      <w:r>
        <w:rPr>
          <w:rFonts w:ascii="Times New Roman" w:hAnsi="Times New Roman" w:eastAsia="Times New Roman" w:cs="Times New Roman"/>
          <w:kern w:val="0"/>
          <w:sz w:val="24"/>
          <w:szCs w:val="24"/>
        </w:rPr>
        <w:t>  3.</w:t>
      </w:r>
      <w:r>
        <w:rPr>
          <w:rFonts w:ascii="宋体" w:hAnsi="宋体" w:eastAsia="宋体" w:cs="宋体"/>
          <w:kern w:val="0"/>
          <w:sz w:val="24"/>
          <w:szCs w:val="24"/>
        </w:rPr>
        <w:t>对部门决算其他管理工作的建议。例如对加强部门决算数据分析利用工作、部门决算信息化建设等建议</w:t>
      </w:r>
      <w:r>
        <w:rPr>
          <w:rFonts w:hint="eastAsia" w:ascii="宋体" w:hAnsi="宋体" w:eastAsia="宋体" w:cs="宋体"/>
          <w:kern w:val="0"/>
          <w:sz w:val="24"/>
          <w:szCs w:val="24"/>
          <w:lang w:eastAsia="zh-CN"/>
        </w:rPr>
        <w:t>：无</w:t>
      </w:r>
    </w:p>
    <w:p>
      <w:pPr>
        <w:widowControl/>
        <w:spacing w:before="240" w:after="240"/>
        <w:jc w:val="left"/>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r>
        <w:rPr>
          <w:rFonts w:ascii="宋体" w:hAnsi="宋体" w:eastAsia="宋体" w:cs="宋体"/>
          <w:kern w:val="0"/>
          <w:sz w:val="24"/>
          <w:szCs w:val="24"/>
        </w:rPr>
        <w:t>注：收入支出预算执行情况分析可参考部门决算分析评价表及行政事业单位财务分析指标</w:t>
      </w:r>
      <w:r>
        <w:rPr>
          <w:rFonts w:hint="eastAsia" w:ascii="宋体" w:hAnsi="宋体" w:eastAsia="宋体" w:cs="宋体"/>
          <w:kern w:val="0"/>
          <w:sz w:val="24"/>
          <w:szCs w:val="24"/>
          <w:lang w:eastAsia="zh-CN"/>
        </w:rPr>
        <w:t>。</w:t>
      </w:r>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4</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B7ADA"/>
    <w:multiLevelType w:val="singleLevel"/>
    <w:tmpl w:val="885B7ADA"/>
    <w:lvl w:ilvl="0" w:tentative="0">
      <w:start w:val="2"/>
      <w:numFmt w:val="decimal"/>
      <w:suff w:val="nothing"/>
      <w:lvlText w:val="（%1）"/>
      <w:lvlJc w:val="left"/>
    </w:lvl>
  </w:abstractNum>
  <w:abstractNum w:abstractNumId="1">
    <w:nsid w:val="D95D4358"/>
    <w:multiLevelType w:val="singleLevel"/>
    <w:tmpl w:val="D95D4358"/>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UyZjVkZDRkN2JiMWQyM2JmOGU4Yjc0NDAwZTQ0NjUifQ=="/>
  </w:docVars>
  <w:rsids>
    <w:rsidRoot w:val="002C0BEC"/>
    <w:rsid w:val="002C0BEC"/>
    <w:rsid w:val="002D05C0"/>
    <w:rsid w:val="00BC487B"/>
    <w:rsid w:val="08A57CCA"/>
    <w:rsid w:val="08EE7F45"/>
    <w:rsid w:val="0ADF0A36"/>
    <w:rsid w:val="122F3980"/>
    <w:rsid w:val="18972950"/>
    <w:rsid w:val="1E48241F"/>
    <w:rsid w:val="23935FE5"/>
    <w:rsid w:val="3D3B16AE"/>
    <w:rsid w:val="4B602647"/>
    <w:rsid w:val="4FAD7F37"/>
    <w:rsid w:val="560721BC"/>
    <w:rsid w:val="588E2720"/>
    <w:rsid w:val="5B914A01"/>
    <w:rsid w:val="6B285332"/>
    <w:rsid w:val="6B737C7F"/>
    <w:rsid w:val="6C4820FB"/>
    <w:rsid w:val="77102EF2"/>
    <w:rsid w:val="77B96DD4"/>
    <w:rsid w:val="7F1E5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2"/>
    <w:autoRedefine/>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4">
    <w:name w:val="heading 2"/>
    <w:basedOn w:val="1"/>
    <w:next w:val="1"/>
    <w:link w:val="13"/>
    <w:autoRedefine/>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5">
    <w:name w:val="heading 3"/>
    <w:basedOn w:val="1"/>
    <w:next w:val="1"/>
    <w:link w:val="14"/>
    <w:autoRedefine/>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6">
    <w:name w:val="heading 4"/>
    <w:basedOn w:val="1"/>
    <w:next w:val="1"/>
    <w:link w:val="15"/>
    <w:autoRedefine/>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99"/>
  </w:style>
  <w:style w:type="paragraph" w:styleId="7">
    <w:name w:val="Body Text Indent"/>
    <w:basedOn w:val="1"/>
    <w:qFormat/>
    <w:uiPriority w:val="99"/>
    <w:pPr>
      <w:spacing w:after="120"/>
      <w:ind w:left="420" w:leftChars="200"/>
    </w:pPr>
  </w:style>
  <w:style w:type="paragraph" w:styleId="8">
    <w:name w:val="Plain Text"/>
    <w:basedOn w:val="1"/>
    <w:autoRedefine/>
    <w:unhideWhenUsed/>
    <w:qFormat/>
    <w:uiPriority w:val="99"/>
    <w:rPr>
      <w:rFonts w:ascii="宋体" w:hAnsi="Courier New"/>
    </w:rPr>
  </w:style>
  <w:style w:type="paragraph" w:styleId="9">
    <w:name w:val="Body Text First Indent 2"/>
    <w:basedOn w:val="7"/>
    <w:autoRedefine/>
    <w:qFormat/>
    <w:uiPriority w:val="99"/>
    <w:pPr>
      <w:ind w:firstLine="420" w:firstLineChars="200"/>
    </w:pPr>
  </w:style>
  <w:style w:type="character" w:customStyle="1" w:styleId="12">
    <w:name w:val="Heading 1 Char"/>
    <w:basedOn w:val="11"/>
    <w:link w:val="3"/>
    <w:autoRedefine/>
    <w:qFormat/>
    <w:uiPriority w:val="9"/>
    <w:rPr>
      <w:rFonts w:asciiTheme="majorHAnsi" w:hAnsiTheme="majorHAnsi" w:eastAsiaTheme="majorEastAsia" w:cstheme="majorBidi"/>
      <w:color w:val="2F5597" w:themeColor="accent1" w:themeShade="BF"/>
      <w:sz w:val="32"/>
      <w:szCs w:val="32"/>
    </w:rPr>
  </w:style>
  <w:style w:type="character" w:customStyle="1" w:styleId="13">
    <w:name w:val="Heading 2 Char"/>
    <w:basedOn w:val="11"/>
    <w:link w:val="4"/>
    <w:autoRedefine/>
    <w:qFormat/>
    <w:uiPriority w:val="9"/>
    <w:rPr>
      <w:rFonts w:asciiTheme="majorHAnsi" w:hAnsiTheme="majorHAnsi" w:eastAsiaTheme="majorEastAsia" w:cstheme="majorBidi"/>
      <w:color w:val="2F5597" w:themeColor="accent1" w:themeShade="BF"/>
      <w:sz w:val="26"/>
      <w:szCs w:val="26"/>
    </w:rPr>
  </w:style>
  <w:style w:type="character" w:customStyle="1" w:styleId="14">
    <w:name w:val="Heading 3 Char"/>
    <w:basedOn w:val="11"/>
    <w:link w:val="5"/>
    <w:autoRedefine/>
    <w:qFormat/>
    <w:uiPriority w:val="9"/>
    <w:rPr>
      <w:rFonts w:asciiTheme="majorHAnsi" w:hAnsiTheme="majorHAnsi" w:eastAsiaTheme="majorEastAsia" w:cstheme="majorBidi"/>
      <w:color w:val="203864" w:themeColor="accent1" w:themeShade="80"/>
      <w:sz w:val="24"/>
      <w:szCs w:val="24"/>
    </w:rPr>
  </w:style>
  <w:style w:type="character" w:customStyle="1" w:styleId="15">
    <w:name w:val="Heading 4 Char"/>
    <w:basedOn w:val="11"/>
    <w:link w:val="6"/>
    <w:autoRedefine/>
    <w:qFormat/>
    <w:uiPriority w:val="9"/>
    <w:rPr>
      <w:rFonts w:asciiTheme="majorHAnsi" w:hAnsiTheme="majorHAnsi" w:eastAsiaTheme="majorEastAsia" w:cstheme="majorBidi"/>
      <w:i/>
      <w:iCs/>
      <w:color w:val="2F5597" w:themeColor="accent1" w:themeShade="BF"/>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26700;&#38754;&#25991;&#20214;\&#39044;&#20915;&#31639;\2023&#24180;&#20915;&#31639;\&#39292;&#29366;&#22270;.xlsx" TargetMode="External"/></Relationships>
</file>

<file path=word/charts/_rels/chart10.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oleObject" Target="file:///E:\&#26700;&#38754;&#25991;&#20214;\&#39044;&#20915;&#31639;\2023&#24180;&#20915;&#31639;\&#22522;&#23618;&#21333;&#20301;\&#39292;&#29366;&#22270;.xlsx" TargetMode="External"/></Relationships>
</file>

<file path=word/charts/_rels/chart11.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oleObject" Target="file:///E:\&#26700;&#38754;&#25991;&#20214;\&#39044;&#20915;&#31639;\2023&#24180;&#20915;&#31639;\&#39292;&#29366;&#22270;.xlsx" TargetMode="External"/></Relationships>
</file>

<file path=word/charts/_rels/chart12.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oleObject" Target="file:///E:\&#26700;&#38754;&#25991;&#20214;\&#39044;&#20915;&#31639;\2023&#24180;&#20915;&#31639;\&#39292;&#29366;&#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E:\&#26700;&#38754;&#25991;&#20214;\&#39044;&#20915;&#31639;\2023&#24180;&#20915;&#31639;\&#39292;&#29366;&#2227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E:\&#26700;&#38754;&#25991;&#20214;\&#39044;&#20915;&#31639;\2023&#24180;&#20915;&#31639;\&#39292;&#29366;&#2227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9292;&#29366;&#2227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26700;&#38754;&#25991;&#20214;\&#39044;&#20915;&#31639;\2023&#24180;&#20915;&#31639;\&#39292;&#29366;&#2227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26700;&#38754;&#25991;&#20214;\&#39044;&#20915;&#31639;\2023&#24180;&#20915;&#31639;\&#39292;&#29366;&#2227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E:\&#26700;&#38754;&#25991;&#20214;\&#39044;&#20915;&#31639;\2023&#24180;&#20915;&#31639;\&#39292;&#29366;&#2227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E:\&#26700;&#38754;&#25991;&#20214;\&#39044;&#20915;&#31639;\2023&#24180;&#20915;&#31639;\&#39292;&#29366;&#2227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oleObject" Target="file:///E:\&#26700;&#38754;&#25991;&#20214;\&#39044;&#20915;&#31639;\2023&#24180;&#20915;&#31639;\&#39292;&#29366;&#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200"/>
              <a:t>单位：万元</a:t>
            </a:r>
            <a:endParaRPr sz="1200"/>
          </a:p>
        </c:rich>
      </c:tx>
      <c:layout>
        <c:manualLayout>
          <c:xMode val="edge"/>
          <c:yMode val="edge"/>
          <c:x val="0.775884838880085"/>
          <c:y val="0.835428571428571"/>
        </c:manualLayout>
      </c:layout>
      <c:overlay val="0"/>
      <c:spPr>
        <a:noFill/>
        <a:ln>
          <a:noFill/>
        </a:ln>
        <a:effectLst/>
      </c:spPr>
    </c:title>
    <c:autoTitleDeleted val="0"/>
    <c:plotArea>
      <c:layout/>
      <c:barChart>
        <c:barDir val="col"/>
        <c:grouping val="clustered"/>
        <c:varyColors val="0"/>
        <c:ser>
          <c:idx val="0"/>
          <c:order val="0"/>
          <c:tx>
            <c:strRef>
              <c:f>[饼状图.xlsx]Sheet6!$B$1</c:f>
              <c:strCache>
                <c:ptCount val="1"/>
                <c:pt idx="0">
                  <c:v>年初预算数</c:v>
                </c:pt>
              </c:strCache>
            </c:strRef>
          </c:tx>
          <c:spPr>
            <a:solidFill>
              <a:schemeClr val="accent1"/>
            </a:solidFill>
            <a:ln>
              <a:noFill/>
            </a:ln>
            <a:effectLst/>
          </c:spPr>
          <c:invertIfNegative val="0"/>
          <c:dLbls>
            <c:delete val="1"/>
          </c:dLbls>
          <c:cat>
            <c:strRef>
              <c:f>[饼状图.xlsx]Sheet6!$A$2:$A$10</c:f>
              <c:strCache>
                <c:ptCount val="9"/>
                <c:pt idx="0">
                  <c:v>基本工资</c:v>
                </c:pt>
                <c:pt idx="1">
                  <c:v>津贴补贴</c:v>
                </c:pt>
                <c:pt idx="2">
                  <c:v>奖金</c:v>
                </c:pt>
                <c:pt idx="3">
                  <c:v>基本养老保险</c:v>
                </c:pt>
                <c:pt idx="4">
                  <c:v>职业年金缴费</c:v>
                </c:pt>
                <c:pt idx="5">
                  <c:v>基本医疗保险</c:v>
                </c:pt>
                <c:pt idx="6">
                  <c:v>其他社会保障缴费</c:v>
                </c:pt>
                <c:pt idx="7">
                  <c:v>住房公积金</c:v>
                </c:pt>
                <c:pt idx="8">
                  <c:v>其他工资福利支出</c:v>
                </c:pt>
              </c:strCache>
            </c:strRef>
          </c:cat>
          <c:val>
            <c:numRef>
              <c:f>[饼状图.xlsx]Sheet6!$B$2:$B$10</c:f>
              <c:numCache>
                <c:formatCode>General</c:formatCode>
                <c:ptCount val="9"/>
                <c:pt idx="0">
                  <c:v>66.78</c:v>
                </c:pt>
                <c:pt idx="1">
                  <c:v>78.77</c:v>
                </c:pt>
                <c:pt idx="2">
                  <c:v>6.72</c:v>
                </c:pt>
                <c:pt idx="3">
                  <c:v>24.36</c:v>
                </c:pt>
                <c:pt idx="4">
                  <c:v>12.18</c:v>
                </c:pt>
                <c:pt idx="5">
                  <c:v>11.74</c:v>
                </c:pt>
                <c:pt idx="6">
                  <c:v>1.32</c:v>
                </c:pt>
                <c:pt idx="7">
                  <c:v>15.23</c:v>
                </c:pt>
                <c:pt idx="8">
                  <c:v>31.9</c:v>
                </c:pt>
              </c:numCache>
            </c:numRef>
          </c:val>
        </c:ser>
        <c:ser>
          <c:idx val="1"/>
          <c:order val="1"/>
          <c:tx>
            <c:strRef>
              <c:f>[饼状图.xlsx]Sheet6!$C$1</c:f>
              <c:strCache>
                <c:ptCount val="1"/>
                <c:pt idx="0">
                  <c:v>决算数</c:v>
                </c:pt>
              </c:strCache>
            </c:strRef>
          </c:tx>
          <c:spPr>
            <a:solidFill>
              <a:schemeClr val="accent2"/>
            </a:solidFill>
            <a:ln>
              <a:noFill/>
            </a:ln>
            <a:effectLst/>
          </c:spPr>
          <c:invertIfNegative val="0"/>
          <c:dLbls>
            <c:delete val="1"/>
          </c:dLbls>
          <c:cat>
            <c:strRef>
              <c:f>[饼状图.xlsx]Sheet6!$A$2:$A$10</c:f>
              <c:strCache>
                <c:ptCount val="9"/>
                <c:pt idx="0">
                  <c:v>基本工资</c:v>
                </c:pt>
                <c:pt idx="1">
                  <c:v>津贴补贴</c:v>
                </c:pt>
                <c:pt idx="2">
                  <c:v>奖金</c:v>
                </c:pt>
                <c:pt idx="3">
                  <c:v>基本养老保险</c:v>
                </c:pt>
                <c:pt idx="4">
                  <c:v>职业年金缴费</c:v>
                </c:pt>
                <c:pt idx="5">
                  <c:v>基本医疗保险</c:v>
                </c:pt>
                <c:pt idx="6">
                  <c:v>其他社会保障缴费</c:v>
                </c:pt>
                <c:pt idx="7">
                  <c:v>住房公积金</c:v>
                </c:pt>
                <c:pt idx="8">
                  <c:v>其他工资福利支出</c:v>
                </c:pt>
              </c:strCache>
            </c:strRef>
          </c:cat>
          <c:val>
            <c:numRef>
              <c:f>[饼状图.xlsx]Sheet6!$C$2:$C$10</c:f>
              <c:numCache>
                <c:formatCode>General</c:formatCode>
                <c:ptCount val="9"/>
                <c:pt idx="0">
                  <c:v>71.2</c:v>
                </c:pt>
                <c:pt idx="1">
                  <c:v>81.54</c:v>
                </c:pt>
                <c:pt idx="2">
                  <c:v>15.85</c:v>
                </c:pt>
                <c:pt idx="3">
                  <c:v>24.95</c:v>
                </c:pt>
                <c:pt idx="4">
                  <c:v>0</c:v>
                </c:pt>
                <c:pt idx="5">
                  <c:v>10.52</c:v>
                </c:pt>
                <c:pt idx="6">
                  <c:v>1.23</c:v>
                </c:pt>
                <c:pt idx="7">
                  <c:v>15.62</c:v>
                </c:pt>
                <c:pt idx="8">
                  <c:v>30.56</c:v>
                </c:pt>
              </c:numCache>
            </c:numRef>
          </c:val>
        </c:ser>
        <c:dLbls>
          <c:showLegendKey val="0"/>
          <c:showVal val="0"/>
          <c:showCatName val="0"/>
          <c:showSerName val="0"/>
          <c:showPercent val="0"/>
          <c:showBubbleSize val="0"/>
        </c:dLbls>
        <c:gapWidth val="150"/>
        <c:overlap val="0"/>
        <c:axId val="782234329"/>
        <c:axId val="204835888"/>
      </c:barChart>
      <c:catAx>
        <c:axId val="7822343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4835888"/>
        <c:crosses val="autoZero"/>
        <c:auto val="1"/>
        <c:lblAlgn val="ctr"/>
        <c:lblOffset val="100"/>
        <c:noMultiLvlLbl val="0"/>
      </c:catAx>
      <c:valAx>
        <c:axId val="20483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82234329"/>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15833333333333"/>
          <c:y val="0.878472222222222"/>
        </c:manualLayout>
      </c:layout>
      <c:overlay val="0"/>
      <c:spPr>
        <a:noFill/>
        <a:ln>
          <a:noFill/>
        </a:ln>
        <a:effectLst/>
      </c:spPr>
    </c:title>
    <c:autoTitleDeleted val="0"/>
    <c:plotArea>
      <c:layout/>
      <c:barChart>
        <c:barDir val="col"/>
        <c:grouping val="clustered"/>
        <c:varyColors val="0"/>
        <c:ser>
          <c:idx val="0"/>
          <c:order val="0"/>
          <c:tx>
            <c:strRef>
              <c:f>[饼状图.xlsx]Sheet7!$B$1</c:f>
              <c:strCache>
                <c:ptCount val="1"/>
                <c:pt idx="0">
                  <c:v>2023年</c:v>
                </c:pt>
              </c:strCache>
            </c:strRef>
          </c:tx>
          <c:spPr>
            <a:solidFill>
              <a:schemeClr val="accent1"/>
            </a:solidFill>
            <a:ln>
              <a:noFill/>
            </a:ln>
            <a:effectLst/>
          </c:spPr>
          <c:invertIfNegative val="0"/>
          <c:dLbls>
            <c:delete val="1"/>
          </c:dLbls>
          <c:cat>
            <c:strRef>
              <c:f>[饼状图.xlsx]Sheet7!$A$2:$A$5</c:f>
              <c:strCache>
                <c:ptCount val="4"/>
                <c:pt idx="0">
                  <c:v>离休费</c:v>
                </c:pt>
                <c:pt idx="1">
                  <c:v>退休费</c:v>
                </c:pt>
                <c:pt idx="2">
                  <c:v>生活补助</c:v>
                </c:pt>
                <c:pt idx="3">
                  <c:v>抚恤金</c:v>
                </c:pt>
              </c:strCache>
            </c:strRef>
          </c:cat>
          <c:val>
            <c:numRef>
              <c:f>[饼状图.xlsx]Sheet7!$B$2:$B$5</c:f>
              <c:numCache>
                <c:formatCode>General</c:formatCode>
                <c:ptCount val="4"/>
                <c:pt idx="0">
                  <c:v>6.23</c:v>
                </c:pt>
                <c:pt idx="1">
                  <c:v>22.41</c:v>
                </c:pt>
                <c:pt idx="2">
                  <c:v>22.6</c:v>
                </c:pt>
                <c:pt idx="3">
                  <c:v>0</c:v>
                </c:pt>
              </c:numCache>
            </c:numRef>
          </c:val>
        </c:ser>
        <c:ser>
          <c:idx val="1"/>
          <c:order val="1"/>
          <c:tx>
            <c:strRef>
              <c:f>[饼状图.xlsx]Sheet7!$C$1</c:f>
              <c:strCache>
                <c:ptCount val="1"/>
                <c:pt idx="0">
                  <c:v>2022年</c:v>
                </c:pt>
              </c:strCache>
            </c:strRef>
          </c:tx>
          <c:spPr>
            <a:solidFill>
              <a:schemeClr val="accent2"/>
            </a:solidFill>
            <a:ln>
              <a:noFill/>
            </a:ln>
            <a:effectLst/>
          </c:spPr>
          <c:invertIfNegative val="0"/>
          <c:dLbls>
            <c:delete val="1"/>
          </c:dLbls>
          <c:cat>
            <c:strRef>
              <c:f>[饼状图.xlsx]Sheet7!$A$2:$A$5</c:f>
              <c:strCache>
                <c:ptCount val="4"/>
                <c:pt idx="0">
                  <c:v>离休费</c:v>
                </c:pt>
                <c:pt idx="1">
                  <c:v>退休费</c:v>
                </c:pt>
                <c:pt idx="2">
                  <c:v>生活补助</c:v>
                </c:pt>
                <c:pt idx="3">
                  <c:v>抚恤金</c:v>
                </c:pt>
              </c:strCache>
            </c:strRef>
          </c:cat>
          <c:val>
            <c:numRef>
              <c:f>[饼状图.xlsx]Sheet7!$C$2:$C$5</c:f>
              <c:numCache>
                <c:formatCode>General</c:formatCode>
                <c:ptCount val="4"/>
                <c:pt idx="0">
                  <c:v>15.13</c:v>
                </c:pt>
                <c:pt idx="1">
                  <c:v>0</c:v>
                </c:pt>
                <c:pt idx="2">
                  <c:v>13.63</c:v>
                </c:pt>
                <c:pt idx="3">
                  <c:v>103.49</c:v>
                </c:pt>
              </c:numCache>
            </c:numRef>
          </c:val>
        </c:ser>
        <c:dLbls>
          <c:showLegendKey val="0"/>
          <c:showVal val="0"/>
          <c:showCatName val="0"/>
          <c:showSerName val="0"/>
          <c:showPercent val="0"/>
          <c:showBubbleSize val="0"/>
        </c:dLbls>
        <c:gapWidth val="219"/>
        <c:overlap val="-27"/>
        <c:axId val="570040329"/>
        <c:axId val="736378274"/>
      </c:barChart>
      <c:catAx>
        <c:axId val="57004032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36378274"/>
        <c:crosses val="autoZero"/>
        <c:auto val="1"/>
        <c:lblAlgn val="ctr"/>
        <c:lblOffset val="100"/>
        <c:noMultiLvlLbl val="0"/>
      </c:catAx>
      <c:valAx>
        <c:axId val="73637827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004032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会议费</a:t>
            </a: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[饼状图.xlsx]Sheet10!$B$1:$D$1</c:f>
              <c:strCache>
                <c:ptCount val="3"/>
                <c:pt idx="0">
                  <c:v>2022年度</c:v>
                </c:pt>
                <c:pt idx="1">
                  <c:v>2023年度</c:v>
                </c:pt>
                <c:pt idx="2">
                  <c:v>年初预算</c:v>
                </c:pt>
              </c:strCache>
            </c:strRef>
          </c:cat>
          <c:val>
            <c:numRef>
              <c:f>[饼状图.xlsx]Sheet10!$B$2:$D$2</c:f>
              <c:numCache>
                <c:formatCode>General</c:formatCode>
                <c:ptCount val="3"/>
                <c:pt idx="0">
                  <c:v>0.55</c:v>
                </c:pt>
                <c:pt idx="1">
                  <c:v>0.25</c:v>
                </c:pt>
                <c:pt idx="2">
                  <c:v>0</c:v>
                </c:pt>
              </c:numCache>
            </c:numRef>
          </c:val>
        </c:ser>
        <c:dLbls>
          <c:showLegendKey val="0"/>
          <c:showVal val="0"/>
          <c:showCatName val="0"/>
          <c:showSerName val="0"/>
          <c:showPercent val="0"/>
          <c:showBubbleSize val="0"/>
        </c:dLbls>
        <c:gapWidth val="246"/>
        <c:overlap val="-28"/>
        <c:axId val="308865450"/>
        <c:axId val="429556584"/>
      </c:barChart>
      <c:catAx>
        <c:axId val="30886545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29556584"/>
        <c:crosses val="autoZero"/>
        <c:auto val="1"/>
        <c:lblAlgn val="ctr"/>
        <c:lblOffset val="100"/>
        <c:noMultiLvlLbl val="0"/>
      </c:catAx>
      <c:valAx>
        <c:axId val="429556584"/>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088654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培训费</a:t>
            </a:r>
          </a:p>
        </c:rich>
      </c:tx>
      <c:layout/>
      <c:overlay val="0"/>
      <c:spPr>
        <a:noFill/>
        <a:ln>
          <a:noFill/>
        </a:ln>
        <a:effectLst/>
      </c:spPr>
    </c:title>
    <c:autoTitleDeleted val="0"/>
    <c:plotArea>
      <c:layout/>
      <c:lineChart>
        <c:grouping val="standard"/>
        <c:varyColors val="0"/>
        <c:ser>
          <c:idx val="0"/>
          <c:order val="0"/>
          <c:spPr>
            <a:ln w="28575" cap="rnd">
              <a:solidFill>
                <a:schemeClr val="accent1"/>
              </a:solidFill>
              <a:round/>
            </a:ln>
            <a:effectLst/>
          </c:spPr>
          <c:marker>
            <c:symbol val="none"/>
          </c:marker>
          <c:dLbls>
            <c:delete val="1"/>
          </c:dLbls>
          <c:cat>
            <c:strRef>
              <c:f>[饼状图.xlsx]Sheet10!$B$7:$D$7</c:f>
              <c:strCache>
                <c:ptCount val="3"/>
                <c:pt idx="0">
                  <c:v>2022年度</c:v>
                </c:pt>
                <c:pt idx="1">
                  <c:v>2023年度</c:v>
                </c:pt>
                <c:pt idx="2">
                  <c:v>年初预算</c:v>
                </c:pt>
              </c:strCache>
            </c:strRef>
          </c:cat>
          <c:val>
            <c:numRef>
              <c:f>[饼状图.xlsx]Sheet10!$B$8:$D$8</c:f>
              <c:numCache>
                <c:formatCode>General</c:formatCode>
                <c:ptCount val="3"/>
                <c:pt idx="0">
                  <c:v>2.19</c:v>
                </c:pt>
                <c:pt idx="1">
                  <c:v>3.16</c:v>
                </c:pt>
                <c:pt idx="2">
                  <c:v>0</c:v>
                </c:pt>
              </c:numCache>
            </c:numRef>
          </c:val>
          <c:smooth val="0"/>
        </c:ser>
        <c:dLbls>
          <c:showLegendKey val="0"/>
          <c:showVal val="0"/>
          <c:showCatName val="0"/>
          <c:showSerName val="0"/>
          <c:showPercent val="0"/>
          <c:showBubbleSize val="0"/>
        </c:dLbls>
        <c:marker val="0"/>
        <c:smooth val="0"/>
        <c:axId val="282699726"/>
        <c:axId val="387269907"/>
      </c:lineChart>
      <c:catAx>
        <c:axId val="28269972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87269907"/>
        <c:crosses val="autoZero"/>
        <c:auto val="1"/>
        <c:lblAlgn val="ctr"/>
        <c:lblOffset val="100"/>
        <c:noMultiLvlLbl val="0"/>
      </c:catAx>
      <c:valAx>
        <c:axId val="387269907"/>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269972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[饼状图.xlsx]Sheet3!$B$1</c:f>
              <c:strCache>
                <c:ptCount val="1"/>
                <c:pt idx="0">
                  <c:v>年初预算数</c:v>
                </c:pt>
              </c:strCache>
            </c:strRef>
          </c:tx>
          <c:spPr>
            <a:ln w="28575" cap="rnd">
              <a:solidFill>
                <a:schemeClr val="accent1"/>
              </a:solidFill>
              <a:round/>
            </a:ln>
            <a:effectLst/>
          </c:spPr>
          <c:marker>
            <c:symbol val="none"/>
          </c:marker>
          <c:dLbls>
            <c:delete val="1"/>
          </c:dLbls>
          <c:cat>
            <c:strRef>
              <c:f>[饼状图.xlsx]Sheet3!$A$2:$A$13</c:f>
              <c:strCache>
                <c:ptCount val="12"/>
                <c:pt idx="0">
                  <c:v>办公费</c:v>
                </c:pt>
                <c:pt idx="1">
                  <c:v>印刷费</c:v>
                </c:pt>
                <c:pt idx="2">
                  <c:v>水费</c:v>
                </c:pt>
                <c:pt idx="3">
                  <c:v>邮电费</c:v>
                </c:pt>
                <c:pt idx="4">
                  <c:v>差旅费</c:v>
                </c:pt>
                <c:pt idx="5">
                  <c:v>会议费</c:v>
                </c:pt>
                <c:pt idx="6">
                  <c:v>培训费</c:v>
                </c:pt>
                <c:pt idx="7">
                  <c:v>公务接待费</c:v>
                </c:pt>
                <c:pt idx="8">
                  <c:v>委托业务费</c:v>
                </c:pt>
                <c:pt idx="9">
                  <c:v>其他交通费用</c:v>
                </c:pt>
                <c:pt idx="10">
                  <c:v>公务用车运行维护费</c:v>
                </c:pt>
                <c:pt idx="11">
                  <c:v>其他商品和服务支出</c:v>
                </c:pt>
              </c:strCache>
            </c:strRef>
          </c:cat>
          <c:val>
            <c:numRef>
              <c:f>[饼状图.xlsx]Sheet3!$B$2:$B$13</c:f>
              <c:numCache>
                <c:formatCode>General</c:formatCode>
                <c:ptCount val="12"/>
                <c:pt idx="0">
                  <c:v>1.5</c:v>
                </c:pt>
                <c:pt idx="1" c:formatCode="0.00_);[Red]\(0.00\)">
                  <c:v>0</c:v>
                </c:pt>
                <c:pt idx="2" c:formatCode="0.00_);[Red]\(0.00\)">
                  <c:v>0</c:v>
                </c:pt>
                <c:pt idx="3" c:formatCode="0.00_);[Red]\(0.00\)">
                  <c:v>0.3</c:v>
                </c:pt>
                <c:pt idx="4" c:formatCode="0.00_);[Red]\(0.00\)">
                  <c:v>0</c:v>
                </c:pt>
                <c:pt idx="5" c:formatCode="0.00_);[Red]\(0.00\)">
                  <c:v>0</c:v>
                </c:pt>
                <c:pt idx="6" c:formatCode="0.00_);[Red]\(0.00\)">
                  <c:v>0</c:v>
                </c:pt>
                <c:pt idx="7" c:formatCode="0.00_);[Red]\(0.00\)">
                  <c:v>1</c:v>
                </c:pt>
                <c:pt idx="8" c:formatCode="0.00_);[Red]\(0.00\)">
                  <c:v>0</c:v>
                </c:pt>
                <c:pt idx="9" c:formatCode="#,##0.00;[Red]#,##0.00">
                  <c:v>5.34</c:v>
                </c:pt>
                <c:pt idx="10" c:formatCode="0.00_);[Red]\(0.00\)">
                  <c:v>5</c:v>
                </c:pt>
                <c:pt idx="11" c:formatCode="#,##0.00;[Red]#,##0.00">
                  <c:v>0.5</c:v>
                </c:pt>
              </c:numCache>
            </c:numRef>
          </c:val>
          <c:smooth val="0"/>
        </c:ser>
        <c:ser>
          <c:idx val="1"/>
          <c:order val="1"/>
          <c:tx>
            <c:strRef>
              <c:f>[饼状图.xlsx]Sheet3!$C$1</c:f>
              <c:strCache>
                <c:ptCount val="1"/>
                <c:pt idx="0">
                  <c:v>决算数</c:v>
                </c:pt>
              </c:strCache>
            </c:strRef>
          </c:tx>
          <c:spPr>
            <a:ln w="28575" cap="rnd">
              <a:solidFill>
                <a:schemeClr val="accent2"/>
              </a:solidFill>
              <a:round/>
            </a:ln>
            <a:effectLst/>
          </c:spPr>
          <c:marker>
            <c:symbol val="none"/>
          </c:marker>
          <c:dLbls>
            <c:delete val="1"/>
          </c:dLbls>
          <c:cat>
            <c:strRef>
              <c:f>[饼状图.xlsx]Sheet3!$A$2:$A$13</c:f>
              <c:strCache>
                <c:ptCount val="12"/>
                <c:pt idx="0">
                  <c:v>办公费</c:v>
                </c:pt>
                <c:pt idx="1">
                  <c:v>印刷费</c:v>
                </c:pt>
                <c:pt idx="2">
                  <c:v>水费</c:v>
                </c:pt>
                <c:pt idx="3">
                  <c:v>邮电费</c:v>
                </c:pt>
                <c:pt idx="4">
                  <c:v>差旅费</c:v>
                </c:pt>
                <c:pt idx="5">
                  <c:v>会议费</c:v>
                </c:pt>
                <c:pt idx="6">
                  <c:v>培训费</c:v>
                </c:pt>
                <c:pt idx="7">
                  <c:v>公务接待费</c:v>
                </c:pt>
                <c:pt idx="8">
                  <c:v>委托业务费</c:v>
                </c:pt>
                <c:pt idx="9">
                  <c:v>其他交通费用</c:v>
                </c:pt>
                <c:pt idx="10">
                  <c:v>公务用车运行维护费</c:v>
                </c:pt>
                <c:pt idx="11">
                  <c:v>其他商品和服务支出</c:v>
                </c:pt>
              </c:strCache>
            </c:strRef>
          </c:cat>
          <c:val>
            <c:numRef>
              <c:f>[饼状图.xlsx]Sheet3!$C$2:$C$13</c:f>
              <c:numCache>
                <c:formatCode>0.00_);[Red]\(0.00\)</c:formatCode>
                <c:ptCount val="12"/>
                <c:pt idx="0">
                  <c:v>8.99</c:v>
                </c:pt>
                <c:pt idx="1">
                  <c:v>1.04</c:v>
                </c:pt>
                <c:pt idx="2">
                  <c:v>0.66</c:v>
                </c:pt>
                <c:pt idx="3">
                  <c:v>0.69</c:v>
                </c:pt>
                <c:pt idx="4">
                  <c:v>5.45</c:v>
                </c:pt>
                <c:pt idx="5">
                  <c:v>0.25</c:v>
                </c:pt>
                <c:pt idx="6">
                  <c:v>1.02</c:v>
                </c:pt>
                <c:pt idx="7">
                  <c:v>0.48</c:v>
                </c:pt>
                <c:pt idx="8">
                  <c:v>3.22</c:v>
                </c:pt>
                <c:pt idx="9" c:formatCode="#,##0.00;[Red]#,##0.00">
                  <c:v>0.72</c:v>
                </c:pt>
                <c:pt idx="10">
                  <c:v>3.59</c:v>
                </c:pt>
                <c:pt idx="11" c:formatCode="#,##0.00;[Red]#,##0.00">
                  <c:v>6.63</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0"/>
        <c:smooth val="0"/>
        <c:axId val="221056726"/>
        <c:axId val="817429978"/>
      </c:lineChart>
      <c:catAx>
        <c:axId val="221056726"/>
        <c:scaling>
          <c:orientation val="minMax"/>
        </c:scaling>
        <c:delete val="0"/>
        <c:axPos val="b"/>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单位：万元</a:t>
                </a:r>
              </a:p>
            </c:rich>
          </c:tx>
          <c:layout>
            <c:manualLayout>
              <c:xMode val="edge"/>
              <c:yMode val="edge"/>
              <c:x val="0.411916666666667"/>
              <c:y val="0.884027777777778"/>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7429978"/>
        <c:crosses val="autoZero"/>
        <c:auto val="1"/>
        <c:lblAlgn val="ctr"/>
        <c:lblOffset val="100"/>
        <c:noMultiLvlLbl val="0"/>
      </c:catAx>
      <c:valAx>
        <c:axId val="81742997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21056726"/>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97441811700566"/>
          <c:y val="0.903553299492386"/>
        </c:manualLayout>
      </c:layout>
      <c:overlay val="0"/>
      <c:spPr>
        <a:noFill/>
        <a:ln>
          <a:noFill/>
        </a:ln>
        <a:effectLst/>
      </c:spPr>
    </c:title>
    <c:autoTitleDeleted val="0"/>
    <c:plotArea>
      <c:layout/>
      <c:lineChart>
        <c:grouping val="standard"/>
        <c:varyColors val="0"/>
        <c:ser>
          <c:idx val="0"/>
          <c:order val="0"/>
          <c:tx>
            <c:strRef>
              <c:f>[饼状图.xlsx]Sheet8!$B$1</c:f>
              <c:strCache>
                <c:ptCount val="1"/>
                <c:pt idx="0">
                  <c:v>年初预算数</c:v>
                </c:pt>
              </c:strCache>
            </c:strRef>
          </c:tx>
          <c:spPr>
            <a:ln w="28575" cap="rnd">
              <a:solidFill>
                <a:schemeClr val="accent1"/>
              </a:solidFill>
              <a:round/>
            </a:ln>
            <a:effectLst/>
          </c:spPr>
          <c:marker>
            <c:symbol val="none"/>
          </c:marker>
          <c:dLbls>
            <c:delete val="1"/>
          </c:dLbls>
          <c:cat>
            <c:strRef>
              <c:f>[饼状图.xlsx]Sheet8!$A$2:$A$4</c:f>
              <c:strCache>
                <c:ptCount val="3"/>
                <c:pt idx="0">
                  <c:v>离休费</c:v>
                </c:pt>
                <c:pt idx="1">
                  <c:v>退休费</c:v>
                </c:pt>
                <c:pt idx="2">
                  <c:v>生活补助</c:v>
                </c:pt>
              </c:strCache>
            </c:strRef>
          </c:cat>
          <c:val>
            <c:numRef>
              <c:f>[饼状图.xlsx]Sheet8!$B$2:$B$4</c:f>
              <c:numCache>
                <c:formatCode>General</c:formatCode>
                <c:ptCount val="3"/>
                <c:pt idx="0">
                  <c:v>14.28</c:v>
                </c:pt>
                <c:pt idx="1">
                  <c:v>23.92</c:v>
                </c:pt>
                <c:pt idx="2">
                  <c:v>21.86</c:v>
                </c:pt>
              </c:numCache>
            </c:numRef>
          </c:val>
          <c:smooth val="0"/>
        </c:ser>
        <c:ser>
          <c:idx val="1"/>
          <c:order val="1"/>
          <c:tx>
            <c:strRef>
              <c:f>[饼状图.xlsx]Sheet8!$C$1</c:f>
              <c:strCache>
                <c:ptCount val="1"/>
                <c:pt idx="0">
                  <c:v>决算数</c:v>
                </c:pt>
              </c:strCache>
            </c:strRef>
          </c:tx>
          <c:spPr>
            <a:ln w="28575" cap="rnd">
              <a:solidFill>
                <a:schemeClr val="accent2"/>
              </a:solidFill>
              <a:round/>
            </a:ln>
            <a:effectLst/>
          </c:spPr>
          <c:marker>
            <c:symbol val="none"/>
          </c:marker>
          <c:dLbls>
            <c:delete val="1"/>
          </c:dLbls>
          <c:cat>
            <c:strRef>
              <c:f>[饼状图.xlsx]Sheet8!$A$2:$A$4</c:f>
              <c:strCache>
                <c:ptCount val="3"/>
                <c:pt idx="0">
                  <c:v>离休费</c:v>
                </c:pt>
                <c:pt idx="1">
                  <c:v>退休费</c:v>
                </c:pt>
                <c:pt idx="2">
                  <c:v>生活补助</c:v>
                </c:pt>
              </c:strCache>
            </c:strRef>
          </c:cat>
          <c:val>
            <c:numRef>
              <c:f>[饼状图.xlsx]Sheet8!$C$2:$C$4</c:f>
              <c:numCache>
                <c:formatCode>General</c:formatCode>
                <c:ptCount val="3"/>
                <c:pt idx="0">
                  <c:v>6.23</c:v>
                </c:pt>
                <c:pt idx="1">
                  <c:v>22.41</c:v>
                </c:pt>
                <c:pt idx="2">
                  <c:v>22.6</c:v>
                </c:pt>
              </c:numCache>
            </c:numRef>
          </c:val>
          <c:smooth val="0"/>
        </c:ser>
        <c:dLbls>
          <c:showLegendKey val="0"/>
          <c:showVal val="0"/>
          <c:showCatName val="0"/>
          <c:showSerName val="0"/>
          <c:showPercent val="0"/>
          <c:showBubbleSize val="0"/>
        </c:dLbls>
        <c:marker val="0"/>
        <c:smooth val="0"/>
        <c:axId val="545809753"/>
        <c:axId val="821567272"/>
      </c:lineChart>
      <c:catAx>
        <c:axId val="54580975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1567272"/>
        <c:crosses val="autoZero"/>
        <c:auto val="1"/>
        <c:lblAlgn val="ctr"/>
        <c:lblOffset val="100"/>
        <c:noMultiLvlLbl val="0"/>
      </c:catAx>
      <c:valAx>
        <c:axId val="821567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45809753"/>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rgbClr val="595959">
                  <a:lumMod val="65000"/>
                  <a:lumOff val="35000"/>
                </a:srgbClr>
              </a:solidFill>
              <a:latin typeface="+mn-lt"/>
              <a:ea typeface="+mn-ea"/>
              <a:cs typeface="+mn-cs"/>
            </a:defRPr>
          </a:pPr>
        </a:p>
      </c:txPr>
    </c:title>
    <c:autoTitleDeleted val="0"/>
    <c:plotArea>
      <c:layout/>
      <c:pieChart>
        <c:varyColors val="1"/>
        <c:ser>
          <c:idx val="0"/>
          <c:order val="0"/>
          <c:tx>
            <c:strRef>
              <c:f>[饼状图.xlsx]Sheet1!$A$20</c:f>
              <c:strCache>
                <c:ptCount val="1"/>
                <c:pt idx="0">
                  <c:v>财政拨款收入</c:v>
                </c:pt>
              </c:strCache>
            </c:strRef>
          </c:tx>
          <c:spPr/>
          <c:explosion val="0"/>
          <c:dPt>
            <c:idx val="0"/>
            <c:bubble3D val="0"/>
            <c:spPr>
              <a:solidFill>
                <a:srgbClr val="4F81BD"/>
              </a:solidFill>
              <a:ln w="19050">
                <a:solidFill>
                  <a:srgbClr val="FFFFFF"/>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round/>
                    </a:ln>
                    <a:effectLst/>
                  </c:spPr>
                </c15:leaderLines>
              </c:ext>
            </c:extLst>
          </c:dLbls>
          <c:val>
            <c:numRef>
              <c:f>[饼状图.xlsx]Sheet1!$B$20</c:f>
              <c:numCache>
                <c:formatCode>General</c:formatCode>
                <c:ptCount val="1"/>
                <c:pt idx="0">
                  <c:v>1044.48</c:v>
                </c:pt>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[饼状图.xlsx]Sheet1!$A$1:$A$2</c:f>
              <c:strCache>
                <c:ptCount val="2"/>
                <c:pt idx="0">
                  <c:v>基本支出</c:v>
                </c:pt>
                <c:pt idx="1">
                  <c:v>项目支出</c:v>
                </c:pt>
              </c:strCache>
            </c:strRef>
          </c:cat>
          <c:val>
            <c:numRef>
              <c:f>[饼状图.xlsx]Sheet1!$B$1:$B$2</c:f>
              <c:numCache>
                <c:formatCode>General</c:formatCode>
                <c:ptCount val="2"/>
                <c:pt idx="0">
                  <c:v>335.44</c:v>
                </c:pt>
                <c:pt idx="1" c:formatCode="#,##0.00">
                  <c:v>3629.18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manualLayout>
          <c:xMode val="edge"/>
          <c:yMode val="edge"/>
          <c:x val="0.799861111111111"/>
          <c:y val="0.03125"/>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c:spPr>
          <c:invertIfNegative val="0"/>
          <c:dLbls>
            <c:delete val="1"/>
          </c:dLbls>
          <c:cat>
            <c:strRef>
              <c:f>[饼状图.xlsx]Sheet2!$A$1:$A$5</c:f>
              <c:strCache>
                <c:ptCount val="5"/>
                <c:pt idx="0">
                  <c:v>工资福利支出</c:v>
                </c:pt>
                <c:pt idx="1">
                  <c:v>商品和服务支出</c:v>
                </c:pt>
                <c:pt idx="2">
                  <c:v>对个人和家庭的补助支出</c:v>
                </c:pt>
                <c:pt idx="3">
                  <c:v>资本性支出</c:v>
                </c:pt>
                <c:pt idx="4">
                  <c:v>对企业补助</c:v>
                </c:pt>
              </c:strCache>
            </c:strRef>
          </c:cat>
          <c:val>
            <c:numRef>
              <c:f>[饼状图.xlsx]Sheet2!$B$1:$B$5</c:f>
              <c:numCache>
                <c:formatCode>General</c:formatCode>
                <c:ptCount val="5"/>
                <c:pt idx="0">
                  <c:v>251.46</c:v>
                </c:pt>
                <c:pt idx="1">
                  <c:v>126.58</c:v>
                </c:pt>
                <c:pt idx="2">
                  <c:v>51.24</c:v>
                </c:pt>
                <c:pt idx="3">
                  <c:v>2648.04</c:v>
                </c:pt>
                <c:pt idx="4">
                  <c:v>887.3</c:v>
                </c:pt>
              </c:numCache>
            </c:numRef>
          </c:val>
        </c:ser>
        <c:dLbls>
          <c:showLegendKey val="0"/>
          <c:showVal val="0"/>
          <c:showCatName val="0"/>
          <c:showSerName val="0"/>
          <c:showPercent val="0"/>
          <c:showBubbleSize val="0"/>
        </c:dLbls>
        <c:gapWidth val="150"/>
        <c:overlap val="0"/>
        <c:axId val="816751091"/>
        <c:axId val="63534875"/>
      </c:barChart>
      <c:catAx>
        <c:axId val="816751091"/>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34875"/>
        <c:crosses val="autoZero"/>
        <c:auto val="1"/>
        <c:lblAlgn val="ctr"/>
        <c:lblOffset val="100"/>
        <c:noMultiLvlLbl val="0"/>
      </c:catAx>
      <c:valAx>
        <c:axId val="6353487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67510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2225" cap="rnd" cmpd="sng" algn="ctr">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dk1">
                        <a:lumMod val="65000"/>
                        <a:lumOff val="35000"/>
                      </a:schemeClr>
                    </a:solidFill>
                    <a:latin typeface="+mn-lt"/>
                    <a:ea typeface="+mn-ea"/>
                    <a:cs typeface="+mn-cs"/>
                  </a:defRPr>
                </a:pPr>
              </a:p>
            </c:txPr>
            <c:dLblPos val="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[饼状图.xlsx]Sheet4!$A$1:$B$1</c:f>
              <c:strCache>
                <c:ptCount val="2"/>
                <c:pt idx="0">
                  <c:v>上年总支出（收入）</c:v>
                </c:pt>
                <c:pt idx="1">
                  <c:v>本年度收入（支出）</c:v>
                </c:pt>
              </c:strCache>
            </c:strRef>
          </c:cat>
          <c:val>
            <c:numRef>
              <c:f>[饼状图.xlsx]Sheet4!$A$2:$B$2</c:f>
              <c:numCache>
                <c:formatCode>#,##0.00</c:formatCode>
                <c:ptCount val="2"/>
                <c:pt idx="0">
                  <c:v>1044.48</c:v>
                </c:pt>
                <c:pt idx="1">
                  <c:v>3964.63</c:v>
                </c:pt>
              </c:numCache>
            </c:numRef>
          </c:val>
          <c:smooth val="0"/>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0"/>
        <c:smooth val="0"/>
        <c:axId val="960075669"/>
        <c:axId val="236327574"/>
      </c:lineChart>
      <c:catAx>
        <c:axId val="960075669"/>
        <c:scaling>
          <c:orientation val="minMax"/>
        </c:scaling>
        <c:delete val="0"/>
        <c:axPos val="b"/>
        <c:majorTickMark val="none"/>
        <c:minorTickMark val="none"/>
        <c:tickLblPos val="nextTo"/>
        <c:spPr>
          <a:noFill/>
          <a:ln w="9525" cap="flat" cmpd="sng" algn="ctr">
            <a:solidFill>
              <a:schemeClr val="dk1">
                <a:lumMod val="15000"/>
                <a:lumOff val="85000"/>
              </a:schemeClr>
            </a:solidFill>
            <a:round/>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p>
        </c:txPr>
        <c:crossAx val="236327574"/>
        <c:crosses val="autoZero"/>
        <c:auto val="1"/>
        <c:lblAlgn val="ctr"/>
        <c:lblOffset val="100"/>
        <c:noMultiLvlLbl val="0"/>
      </c:catAx>
      <c:valAx>
        <c:axId val="236327574"/>
        <c:scaling>
          <c:orientation val="minMax"/>
        </c:scaling>
        <c:delete val="0"/>
        <c:axPos val="l"/>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spc="20" baseline="0">
                <a:solidFill>
                  <a:schemeClr val="dk1">
                    <a:lumMod val="65000"/>
                    <a:lumOff val="35000"/>
                  </a:schemeClr>
                </a:solidFill>
                <a:latin typeface="+mn-lt"/>
                <a:ea typeface="+mn-ea"/>
                <a:cs typeface="+mn-cs"/>
              </a:defRPr>
            </a:pPr>
          </a:p>
        </c:txPr>
        <c:crossAx val="960075669"/>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[饼状图.xlsx]Sheet5!$B$1</c:f>
              <c:strCache>
                <c:ptCount val="1"/>
                <c:pt idx="0">
                  <c:v>2023年</c:v>
                </c:pt>
              </c:strCache>
            </c:strRef>
          </c:tx>
          <c:spPr>
            <a:ln w="28575" cap="rnd">
              <a:solidFill>
                <a:schemeClr val="accent1"/>
              </a:solidFill>
              <a:round/>
            </a:ln>
            <a:effectLst/>
          </c:spPr>
          <c:marker>
            <c:symbol val="none"/>
          </c:marker>
          <c:dLbls>
            <c:delete val="1"/>
          </c:dLbls>
          <c:cat>
            <c:strRef>
              <c:f>[饼状图.xlsx]Sheet5!$A$2:$A$10</c:f>
              <c:strCache>
                <c:ptCount val="9"/>
                <c:pt idx="0">
                  <c:v>基本工资</c:v>
                </c:pt>
                <c:pt idx="1">
                  <c:v>津贴补贴</c:v>
                </c:pt>
                <c:pt idx="2">
                  <c:v>奖金</c:v>
                </c:pt>
                <c:pt idx="3">
                  <c:v>机关事业单位基本养老缴费</c:v>
                </c:pt>
                <c:pt idx="4">
                  <c:v>职业年金</c:v>
                </c:pt>
                <c:pt idx="5">
                  <c:v>职工基本医疗保险缴费</c:v>
                </c:pt>
                <c:pt idx="6">
                  <c:v>其他社会保障缴费</c:v>
                </c:pt>
                <c:pt idx="7">
                  <c:v>住房公积金</c:v>
                </c:pt>
                <c:pt idx="8">
                  <c:v>其他工资福利支出</c:v>
                </c:pt>
              </c:strCache>
            </c:strRef>
          </c:cat>
          <c:val>
            <c:numRef>
              <c:f>[饼状图.xlsx]Sheet5!$B$2:$B$10</c:f>
              <c:numCache>
                <c:formatCode>General</c:formatCode>
                <c:ptCount val="9"/>
                <c:pt idx="0">
                  <c:v>71.2</c:v>
                </c:pt>
                <c:pt idx="1">
                  <c:v>81.54</c:v>
                </c:pt>
                <c:pt idx="2">
                  <c:v>15.85</c:v>
                </c:pt>
                <c:pt idx="3">
                  <c:v>24.95</c:v>
                </c:pt>
                <c:pt idx="4">
                  <c:v>0</c:v>
                </c:pt>
                <c:pt idx="5">
                  <c:v>10.52</c:v>
                </c:pt>
                <c:pt idx="6">
                  <c:v>1.23</c:v>
                </c:pt>
                <c:pt idx="7">
                  <c:v>15.62</c:v>
                </c:pt>
                <c:pt idx="8">
                  <c:v>30.56</c:v>
                </c:pt>
              </c:numCache>
            </c:numRef>
          </c:val>
          <c:smooth val="0"/>
        </c:ser>
        <c:ser>
          <c:idx val="1"/>
          <c:order val="1"/>
          <c:tx>
            <c:strRef>
              <c:f>[饼状图.xlsx]Sheet5!$C$1</c:f>
              <c:strCache>
                <c:ptCount val="1"/>
                <c:pt idx="0">
                  <c:v>2022年</c:v>
                </c:pt>
              </c:strCache>
            </c:strRef>
          </c:tx>
          <c:spPr>
            <a:ln w="28575" cap="rnd">
              <a:solidFill>
                <a:schemeClr val="accent2"/>
              </a:solidFill>
              <a:round/>
            </a:ln>
            <a:effectLst/>
          </c:spPr>
          <c:marker>
            <c:symbol val="none"/>
          </c:marker>
          <c:dLbls>
            <c:delete val="1"/>
          </c:dLbls>
          <c:cat>
            <c:strRef>
              <c:f>[饼状图.xlsx]Sheet5!$A$2:$A$10</c:f>
              <c:strCache>
                <c:ptCount val="9"/>
                <c:pt idx="0">
                  <c:v>基本工资</c:v>
                </c:pt>
                <c:pt idx="1">
                  <c:v>津贴补贴</c:v>
                </c:pt>
                <c:pt idx="2">
                  <c:v>奖金</c:v>
                </c:pt>
                <c:pt idx="3">
                  <c:v>机关事业单位基本养老缴费</c:v>
                </c:pt>
                <c:pt idx="4">
                  <c:v>职业年金</c:v>
                </c:pt>
                <c:pt idx="5">
                  <c:v>职工基本医疗保险缴费</c:v>
                </c:pt>
                <c:pt idx="6">
                  <c:v>其他社会保障缴费</c:v>
                </c:pt>
                <c:pt idx="7">
                  <c:v>住房公积金</c:v>
                </c:pt>
                <c:pt idx="8">
                  <c:v>其他工资福利支出</c:v>
                </c:pt>
              </c:strCache>
            </c:strRef>
          </c:cat>
          <c:val>
            <c:numRef>
              <c:f>[饼状图.xlsx]Sheet5!$C$2:$C$10</c:f>
              <c:numCache>
                <c:formatCode>General</c:formatCode>
                <c:ptCount val="9"/>
                <c:pt idx="0">
                  <c:v>69.31</c:v>
                </c:pt>
                <c:pt idx="1">
                  <c:v>70.22</c:v>
                </c:pt>
                <c:pt idx="2">
                  <c:v>20.3</c:v>
                </c:pt>
                <c:pt idx="3">
                  <c:v>22.61</c:v>
                </c:pt>
                <c:pt idx="4">
                  <c:v>6.49</c:v>
                </c:pt>
                <c:pt idx="5">
                  <c:v>10.29</c:v>
                </c:pt>
                <c:pt idx="6">
                  <c:v>0.68</c:v>
                </c:pt>
                <c:pt idx="7">
                  <c:v>13.06</c:v>
                </c:pt>
                <c:pt idx="8">
                  <c:v>0</c:v>
                </c:pt>
              </c:numCache>
            </c:numRef>
          </c:val>
          <c:smooth val="0"/>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0"/>
        <c:smooth val="0"/>
        <c:axId val="74520364"/>
        <c:axId val="321865924"/>
      </c:lineChart>
      <c:catAx>
        <c:axId val="745203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1865924"/>
        <c:crosses val="autoZero"/>
        <c:auto val="1"/>
        <c:lblAlgn val="ctr"/>
        <c:lblOffset val="100"/>
        <c:noMultiLvlLbl val="0"/>
      </c:catAx>
      <c:valAx>
        <c:axId val="3218659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452036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[饼状图.xlsx]Sheet9!$B$1</c:f>
              <c:strCache>
                <c:ptCount val="1"/>
                <c:pt idx="0">
                  <c:v>2023年</c:v>
                </c:pt>
              </c:strCache>
            </c:strRef>
          </c:tx>
          <c:spPr>
            <a:ln w="28575" cap="rnd">
              <a:solidFill>
                <a:schemeClr val="accent1"/>
              </a:solidFill>
              <a:round/>
            </a:ln>
            <a:effectLst/>
          </c:spPr>
          <c:marker>
            <c:symbol val="none"/>
          </c:marker>
          <c:dLbls>
            <c:delete val="1"/>
          </c:dLbls>
          <c:cat>
            <c:strRef>
              <c:f>[饼状图.xlsx]Sheet9!$A$2:$A$13</c:f>
              <c:strCache>
                <c:ptCount val="12"/>
                <c:pt idx="0">
                  <c:v>办公费</c:v>
                </c:pt>
                <c:pt idx="1">
                  <c:v>印刷费</c:v>
                </c:pt>
                <c:pt idx="2">
                  <c:v>水费</c:v>
                </c:pt>
                <c:pt idx="3">
                  <c:v>邮电费</c:v>
                </c:pt>
                <c:pt idx="4">
                  <c:v>差旅费</c:v>
                </c:pt>
                <c:pt idx="5">
                  <c:v>会议费</c:v>
                </c:pt>
                <c:pt idx="6">
                  <c:v>培训费</c:v>
                </c:pt>
                <c:pt idx="7">
                  <c:v>公务接待费</c:v>
                </c:pt>
                <c:pt idx="8">
                  <c:v>委托业务费</c:v>
                </c:pt>
                <c:pt idx="9">
                  <c:v>其他交通费用</c:v>
                </c:pt>
                <c:pt idx="10">
                  <c:v>公务用车运行维护费</c:v>
                </c:pt>
                <c:pt idx="11">
                  <c:v>其他商品和服务支出</c:v>
                </c:pt>
              </c:strCache>
            </c:strRef>
          </c:cat>
          <c:val>
            <c:numRef>
              <c:f>[饼状图.xlsx]Sheet9!$B$2:$B$13</c:f>
              <c:numCache>
                <c:formatCode>0.00_);[Red]\(0.00\)</c:formatCode>
                <c:ptCount val="12"/>
                <c:pt idx="0">
                  <c:v>8.99</c:v>
                </c:pt>
                <c:pt idx="1">
                  <c:v>1.04</c:v>
                </c:pt>
                <c:pt idx="2">
                  <c:v>0.66</c:v>
                </c:pt>
                <c:pt idx="3">
                  <c:v>0.69</c:v>
                </c:pt>
                <c:pt idx="4">
                  <c:v>5.45</c:v>
                </c:pt>
                <c:pt idx="5">
                  <c:v>0.25</c:v>
                </c:pt>
                <c:pt idx="6">
                  <c:v>1.02</c:v>
                </c:pt>
                <c:pt idx="7">
                  <c:v>0.48</c:v>
                </c:pt>
                <c:pt idx="8">
                  <c:v>3.22</c:v>
                </c:pt>
                <c:pt idx="9" c:formatCode="#,##0.00;[Red]#,##0.00">
                  <c:v>0.72</c:v>
                </c:pt>
                <c:pt idx="10">
                  <c:v>3.59</c:v>
                </c:pt>
                <c:pt idx="11" c:formatCode="#,##0.00;[Red]#,##0.00">
                  <c:v>6.63</c:v>
                </c:pt>
              </c:numCache>
            </c:numRef>
          </c:val>
          <c:smooth val="0"/>
        </c:ser>
        <c:ser>
          <c:idx val="1"/>
          <c:order val="1"/>
          <c:tx>
            <c:strRef>
              <c:f>[饼状图.xlsx]Sheet9!$C$1</c:f>
              <c:strCache>
                <c:ptCount val="1"/>
                <c:pt idx="0">
                  <c:v>2022年</c:v>
                </c:pt>
              </c:strCache>
            </c:strRef>
          </c:tx>
          <c:spPr>
            <a:ln w="28575" cap="rnd">
              <a:solidFill>
                <a:schemeClr val="accent2"/>
              </a:solidFill>
              <a:round/>
            </a:ln>
            <a:effectLst/>
          </c:spPr>
          <c:marker>
            <c:symbol val="none"/>
          </c:marker>
          <c:dLbls>
            <c:delete val="1"/>
          </c:dLbls>
          <c:cat>
            <c:strRef>
              <c:f>[饼状图.xlsx]Sheet9!$A$2:$A$13</c:f>
              <c:strCache>
                <c:ptCount val="12"/>
                <c:pt idx="0">
                  <c:v>办公费</c:v>
                </c:pt>
                <c:pt idx="1">
                  <c:v>印刷费</c:v>
                </c:pt>
                <c:pt idx="2">
                  <c:v>水费</c:v>
                </c:pt>
                <c:pt idx="3">
                  <c:v>邮电费</c:v>
                </c:pt>
                <c:pt idx="4">
                  <c:v>差旅费</c:v>
                </c:pt>
                <c:pt idx="5">
                  <c:v>会议费</c:v>
                </c:pt>
                <c:pt idx="6">
                  <c:v>培训费</c:v>
                </c:pt>
                <c:pt idx="7">
                  <c:v>公务接待费</c:v>
                </c:pt>
                <c:pt idx="8">
                  <c:v>委托业务费</c:v>
                </c:pt>
                <c:pt idx="9">
                  <c:v>其他交通费用</c:v>
                </c:pt>
                <c:pt idx="10">
                  <c:v>公务用车运行维护费</c:v>
                </c:pt>
                <c:pt idx="11">
                  <c:v>其他商品和服务支出</c:v>
                </c:pt>
              </c:strCache>
            </c:strRef>
          </c:cat>
          <c:val>
            <c:numRef>
              <c:f>[饼状图.xlsx]Sheet9!$C$2:$C$13</c:f>
              <c:numCache>
                <c:formatCode>0.00_);[Red]\(0.00\)</c:formatCode>
                <c:ptCount val="12"/>
                <c:pt idx="0">
                  <c:v>9.84</c:v>
                </c:pt>
                <c:pt idx="1">
                  <c:v>3.7</c:v>
                </c:pt>
                <c:pt idx="2">
                  <c:v>0.76</c:v>
                </c:pt>
                <c:pt idx="3">
                  <c:v>0.9</c:v>
                </c:pt>
                <c:pt idx="4">
                  <c:v>7.45</c:v>
                </c:pt>
                <c:pt idx="5">
                  <c:v>0.55</c:v>
                </c:pt>
                <c:pt idx="6">
                  <c:v>2.19</c:v>
                </c:pt>
                <c:pt idx="7">
                  <c:v>0.27</c:v>
                </c:pt>
                <c:pt idx="8">
                  <c:v>0.75</c:v>
                </c:pt>
                <c:pt idx="9" c:formatCode="#,##0.00;[Red]#,##0.00">
                  <c:v>6.47</c:v>
                </c:pt>
                <c:pt idx="10">
                  <c:v>3.9</c:v>
                </c:pt>
                <c:pt idx="11" c:formatCode="#,##0.00;[Red]#,##0.00">
                  <c:v>99.28</c:v>
                </c:pt>
              </c:numCache>
            </c:numRef>
          </c:val>
          <c:smooth val="0"/>
        </c:ser>
        <c:dLbls>
          <c:showLegendKey val="0"/>
          <c:showVal val="0"/>
          <c:showCatName val="0"/>
          <c:showSerName val="0"/>
          <c:showPercent val="0"/>
          <c:showBubbleSize val="0"/>
        </c:dLbls>
        <c:marker val="0"/>
        <c:smooth val="0"/>
        <c:axId val="362608096"/>
        <c:axId val="562999011"/>
      </c:lineChart>
      <c:catAx>
        <c:axId val="3626080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62999011"/>
        <c:crosses val="autoZero"/>
        <c:auto val="1"/>
        <c:lblAlgn val="ctr"/>
        <c:lblOffset val="100"/>
        <c:noMultiLvlLbl val="0"/>
      </c:catAx>
      <c:valAx>
        <c:axId val="562999011"/>
        <c:scaling>
          <c:orientation val="minMax"/>
        </c:scaling>
        <c:delete val="0"/>
        <c:axPos val="l"/>
        <c:numFmt formatCode="0.00_);[Red]\(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26080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2023-11-08T06:42:00Z</dcterms:created>
  <dc:creator>jlw</dc:creator>
  <cp:lastModifiedBy>WPS_1483198085</cp:lastModifiedBy>
  <dcterms:modified xsi:type="dcterms:W3CDTF">2024-01-31T02:02:18Z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117B275CB0314443B5EAADBA65083AB3_12</vt:lpwstr>
  </property>
</Properties>
</file>