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color w:val="auto"/>
          <w:spacing w:val="5"/>
          <w:sz w:val="36"/>
          <w:szCs w:val="36"/>
          <w:shd w:val="clear" w:color="auto" w:fill="auto"/>
        </w:rPr>
      </w:pPr>
      <w:r>
        <w:rPr>
          <w:rFonts w:hint="eastAsia" w:ascii="黑体" w:hAnsi="黑体" w:eastAsia="黑体" w:cs="黑体"/>
          <w:i w:val="0"/>
          <w:iCs w:val="0"/>
          <w:caps w:val="0"/>
          <w:color w:val="auto"/>
          <w:spacing w:val="5"/>
          <w:sz w:val="36"/>
          <w:szCs w:val="36"/>
          <w:bdr w:val="none" w:color="auto" w:sz="0" w:space="0"/>
          <w:shd w:val="clear" w:color="auto" w:fill="auto"/>
        </w:rPr>
        <w:t>逐章逐条学条例丨学习《中国共产党纪律处分条例》（二）</w:t>
      </w:r>
    </w:p>
    <w:p>
      <w:pPr>
        <w:jc w:val="center"/>
        <w:rPr>
          <w:rFonts w:hint="eastAsia" w:ascii="仿宋" w:hAnsi="仿宋" w:eastAsia="仿宋" w:cs="仿宋"/>
          <w:sz w:val="30"/>
          <w:szCs w:val="30"/>
        </w:rPr>
      </w:pPr>
      <w:r>
        <w:rPr>
          <w:rFonts w:hint="eastAsia" w:ascii="仿宋" w:hAnsi="仿宋" w:eastAsia="仿宋" w:cs="仿宋"/>
          <w:sz w:val="30"/>
          <w:szCs w:val="30"/>
        </w:rPr>
        <w:t>学习《中国共产党纪律处分条例》</w:t>
      </w:r>
    </w:p>
    <w:p>
      <w:pPr>
        <w:jc w:val="center"/>
        <w:rPr>
          <w:rFonts w:hint="eastAsia" w:ascii="仿宋" w:hAnsi="仿宋" w:eastAsia="仿宋" w:cs="仿宋"/>
          <w:sz w:val="30"/>
          <w:szCs w:val="30"/>
        </w:rPr>
      </w:pPr>
      <w:r>
        <w:rPr>
          <w:rFonts w:hint="eastAsia" w:ascii="仿宋" w:hAnsi="仿宋" w:eastAsia="仿宋" w:cs="仿宋"/>
          <w:sz w:val="30"/>
          <w:szCs w:val="30"/>
        </w:rPr>
        <w:t>（二）</w:t>
      </w:r>
    </w:p>
    <w:p>
      <w:pPr>
        <w:jc w:val="center"/>
        <w:rPr>
          <w:rFonts w:hint="eastAsia" w:ascii="仿宋" w:hAnsi="仿宋" w:eastAsia="仿宋" w:cs="仿宋"/>
          <w:sz w:val="30"/>
          <w:szCs w:val="30"/>
        </w:rPr>
      </w:pPr>
      <w:r>
        <w:rPr>
          <w:rFonts w:hint="eastAsia" w:ascii="仿宋" w:hAnsi="仿宋" w:eastAsia="仿宋" w:cs="仿宋"/>
          <w:sz w:val="30"/>
          <w:szCs w:val="30"/>
        </w:rPr>
        <w:t>《中国共产党纪律处分条例》</w:t>
      </w:r>
    </w:p>
    <w:p>
      <w:pPr>
        <w:jc w:val="both"/>
        <w:rPr>
          <w:rFonts w:hint="eastAsia" w:ascii="仿宋" w:hAnsi="仿宋" w:eastAsia="仿宋" w:cs="仿宋"/>
          <w:sz w:val="30"/>
          <w:szCs w:val="30"/>
        </w:rPr>
      </w:pPr>
      <w:r>
        <w:rPr>
          <w:rFonts w:hint="eastAsia" w:ascii="仿宋" w:hAnsi="仿宋" w:eastAsia="仿宋" w:cs="仿宋"/>
          <w:sz w:val="30"/>
          <w:szCs w:val="30"/>
        </w:rPr>
        <w:t>《中国共产党纪律处分条例》</w:t>
      </w:r>
    </w:p>
    <w:p>
      <w:pPr>
        <w:jc w:val="both"/>
        <w:rPr>
          <w:rFonts w:hint="eastAsia" w:ascii="仿宋" w:hAnsi="仿宋" w:eastAsia="仿宋" w:cs="仿宋"/>
          <w:sz w:val="30"/>
          <w:szCs w:val="30"/>
        </w:rPr>
      </w:pPr>
      <w:r>
        <w:rPr>
          <w:rFonts w:hint="eastAsia" w:ascii="仿宋" w:hAnsi="仿宋" w:eastAsia="仿宋" w:cs="仿宋"/>
          <w:sz w:val="30"/>
          <w:szCs w:val="30"/>
        </w:rPr>
        <w:t>2003年12月23日中共中央政治局会议审议批准</w:t>
      </w:r>
    </w:p>
    <w:p>
      <w:pPr>
        <w:jc w:val="both"/>
        <w:rPr>
          <w:rFonts w:hint="eastAsia" w:ascii="仿宋" w:hAnsi="仿宋" w:eastAsia="仿宋" w:cs="仿宋"/>
          <w:sz w:val="30"/>
          <w:szCs w:val="30"/>
        </w:rPr>
      </w:pPr>
      <w:r>
        <w:rPr>
          <w:rFonts w:hint="eastAsia" w:ascii="仿宋" w:hAnsi="仿宋" w:eastAsia="仿宋" w:cs="仿宋"/>
          <w:sz w:val="30"/>
          <w:szCs w:val="30"/>
        </w:rPr>
        <w:t>2003年12月31日中共中央发布</w:t>
      </w:r>
    </w:p>
    <w:p>
      <w:pPr>
        <w:jc w:val="both"/>
        <w:rPr>
          <w:rFonts w:hint="eastAsia" w:ascii="仿宋" w:hAnsi="仿宋" w:eastAsia="仿宋" w:cs="仿宋"/>
          <w:sz w:val="30"/>
          <w:szCs w:val="30"/>
        </w:rPr>
      </w:pPr>
      <w:r>
        <w:rPr>
          <w:rFonts w:hint="eastAsia" w:ascii="仿宋" w:hAnsi="仿宋" w:eastAsia="仿宋" w:cs="仿宋"/>
          <w:sz w:val="30"/>
          <w:szCs w:val="30"/>
        </w:rPr>
        <w:t>2023年12月8日中共中央政治局会议第三次修订</w:t>
      </w:r>
    </w:p>
    <w:p>
      <w:pPr>
        <w:jc w:val="both"/>
        <w:rPr>
          <w:rFonts w:hint="eastAsia" w:ascii="仿宋" w:hAnsi="仿宋" w:eastAsia="仿宋" w:cs="仿宋"/>
          <w:sz w:val="30"/>
          <w:szCs w:val="30"/>
        </w:rPr>
      </w:pPr>
      <w:r>
        <w:rPr>
          <w:rFonts w:hint="eastAsia" w:ascii="仿宋" w:hAnsi="仿宋" w:eastAsia="仿宋" w:cs="仿宋"/>
          <w:sz w:val="30"/>
          <w:szCs w:val="30"/>
        </w:rPr>
        <w:t>2023年12月19日中共中央发布</w:t>
      </w:r>
    </w:p>
    <w:p>
      <w:pPr>
        <w:jc w:val="center"/>
        <w:rPr>
          <w:rFonts w:hint="eastAsia" w:ascii="仿宋" w:hAnsi="仿宋" w:eastAsia="仿宋" w:cs="仿宋"/>
          <w:sz w:val="30"/>
          <w:szCs w:val="30"/>
        </w:rPr>
      </w:pPr>
      <w:r>
        <w:rPr>
          <w:rFonts w:hint="eastAsia" w:ascii="仿宋" w:hAnsi="仿宋" w:eastAsia="仿宋" w:cs="仿宋"/>
          <w:sz w:val="30"/>
          <w:szCs w:val="30"/>
        </w:rPr>
        <w:t>第一编 总则</w:t>
      </w:r>
    </w:p>
    <w:p>
      <w:pPr>
        <w:jc w:val="center"/>
        <w:rPr>
          <w:rFonts w:hint="eastAsia" w:ascii="仿宋" w:hAnsi="仿宋" w:eastAsia="仿宋" w:cs="仿宋"/>
          <w:sz w:val="30"/>
          <w:szCs w:val="30"/>
        </w:rPr>
      </w:pPr>
      <w:r>
        <w:rPr>
          <w:rFonts w:hint="eastAsia" w:ascii="仿宋" w:hAnsi="仿宋" w:eastAsia="仿宋" w:cs="仿宋"/>
          <w:sz w:val="30"/>
          <w:szCs w:val="30"/>
        </w:rPr>
        <w:t>第一章 总体要求和适用范围</w:t>
      </w:r>
    </w:p>
    <w:p>
      <w:pPr>
        <w:jc w:val="both"/>
        <w:rPr>
          <w:rFonts w:hint="eastAsia" w:ascii="仿宋" w:hAnsi="仿宋" w:eastAsia="仿宋" w:cs="仿宋"/>
          <w:sz w:val="30"/>
          <w:szCs w:val="30"/>
        </w:rPr>
      </w:pPr>
      <w:r>
        <w:rPr>
          <w:rFonts w:hint="eastAsia" w:ascii="仿宋" w:hAnsi="仿宋" w:eastAsia="仿宋" w:cs="仿宋"/>
          <w:sz w:val="30"/>
          <w:szCs w:val="30"/>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jc w:val="both"/>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解     读</w:t>
      </w:r>
    </w:p>
    <w:p>
      <w:pPr>
        <w:jc w:val="both"/>
        <w:rPr>
          <w:rFonts w:hint="eastAsia" w:ascii="仿宋" w:hAnsi="仿宋" w:eastAsia="仿宋" w:cs="仿宋"/>
          <w:sz w:val="30"/>
          <w:szCs w:val="30"/>
        </w:rPr>
      </w:pPr>
    </w:p>
    <w:p>
      <w:pPr>
        <w:jc w:val="both"/>
        <w:rPr>
          <w:rFonts w:hint="eastAsia" w:ascii="仿宋" w:hAnsi="仿宋" w:eastAsia="仿宋" w:cs="仿宋"/>
          <w:sz w:val="30"/>
          <w:szCs w:val="30"/>
        </w:rPr>
      </w:pPr>
      <w:r>
        <w:rPr>
          <w:rFonts w:hint="eastAsia" w:ascii="仿宋" w:hAnsi="仿宋" w:eastAsia="仿宋" w:cs="仿宋"/>
          <w:sz w:val="30"/>
          <w:szCs w:val="30"/>
        </w:rPr>
        <w:t xml:space="preserve">      1.党的纪律建设必须坚持的指导思想。党章总纲第二段明确规定，“中国共产党以马克思列宁主义、毛泽东思想、邓小平理论、“三个代表”重要思想、科学发展观、习近平新时代中国特色社会主义思想作为自己的行动指南”。党的纪律建设必然以中国共产党的行动指南为指导。</w:t>
      </w:r>
    </w:p>
    <w:p>
      <w:pPr>
        <w:jc w:val="both"/>
        <w:rPr>
          <w:rFonts w:hint="eastAsia" w:ascii="仿宋" w:hAnsi="仿宋" w:eastAsia="仿宋" w:cs="仿宋"/>
          <w:sz w:val="30"/>
          <w:szCs w:val="30"/>
        </w:rPr>
      </w:pPr>
      <w:r>
        <w:rPr>
          <w:rFonts w:hint="eastAsia" w:ascii="仿宋" w:hAnsi="仿宋" w:eastAsia="仿宋" w:cs="仿宋"/>
          <w:sz w:val="30"/>
          <w:szCs w:val="30"/>
        </w:rPr>
        <w:t xml:space="preserve">      2.坚持和加强党的全面领导。这是新时代党的建设总要求中的首句，也是习近平总书记关于党的建设的重要思想“十三个坚持”中的第一个“坚持”。坚持和加强党的全面领导，这是党的建设的根本原则，也是党的纪律建设首当其冲要坚持的。</w:t>
      </w:r>
    </w:p>
    <w:p>
      <w:pPr>
        <w:jc w:val="both"/>
        <w:rPr>
          <w:rFonts w:hint="eastAsia" w:ascii="仿宋" w:hAnsi="仿宋" w:eastAsia="仿宋" w:cs="仿宋"/>
          <w:sz w:val="30"/>
          <w:szCs w:val="30"/>
        </w:rPr>
      </w:pPr>
      <w:r>
        <w:rPr>
          <w:rFonts w:hint="eastAsia" w:ascii="仿宋" w:hAnsi="仿宋" w:eastAsia="仿宋" w:cs="仿宋"/>
          <w:sz w:val="30"/>
          <w:szCs w:val="30"/>
        </w:rPr>
        <w:t xml:space="preserve">      3.坚决维护习近平总书记党中央的核心、全党的核心地位，坚决维护以习近平同志为核心的党中央权威和集中统一领导。以上即“两个维护”，坚决做到“两个维护”，既是根本政治任务，也是根本政治纪律和政治规矩，是牢固树立“四个意识”的集中体现。对于纪律建设来说，必然也是要坚决做到的。</w:t>
      </w:r>
    </w:p>
    <w:p>
      <w:pPr>
        <w:jc w:val="both"/>
        <w:rPr>
          <w:rFonts w:hint="eastAsia" w:ascii="仿宋" w:hAnsi="仿宋" w:eastAsia="仿宋" w:cs="仿宋"/>
          <w:sz w:val="30"/>
          <w:szCs w:val="30"/>
        </w:rPr>
      </w:pPr>
      <w:r>
        <w:rPr>
          <w:rFonts w:hint="eastAsia" w:ascii="仿宋" w:hAnsi="仿宋" w:eastAsia="仿宋" w:cs="仿宋"/>
          <w:sz w:val="30"/>
          <w:szCs w:val="30"/>
        </w:rPr>
        <w:t xml:space="preserve">     4.弘扬伟大建党精神。习近平总书记在庆祝中国共产党成立100周年大会上强调，伟大建党精神是中国共产党的精神之源。党的二十大将弘扬伟大建党精神写进大会主题并载入新修改的《中国共产党章程》，充分彰显了新时代弘扬伟大建党精神的重大现实意义和时代意义。</w:t>
      </w:r>
    </w:p>
    <w:p>
      <w:pPr>
        <w:jc w:val="both"/>
        <w:rPr>
          <w:rFonts w:hint="eastAsia" w:ascii="仿宋" w:hAnsi="仿宋" w:eastAsia="仿宋" w:cs="仿宋"/>
          <w:sz w:val="30"/>
          <w:szCs w:val="30"/>
        </w:rPr>
      </w:pPr>
    </w:p>
    <w:p>
      <w:pPr>
        <w:jc w:val="both"/>
        <w:rPr>
          <w:rFonts w:hint="eastAsia" w:ascii="仿宋" w:hAnsi="仿宋" w:eastAsia="仿宋" w:cs="仿宋"/>
          <w:sz w:val="30"/>
          <w:szCs w:val="30"/>
        </w:rPr>
      </w:pPr>
      <w:r>
        <w:rPr>
          <w:rFonts w:hint="eastAsia" w:ascii="仿宋" w:hAnsi="仿宋" w:eastAsia="仿宋" w:cs="仿宋"/>
          <w:sz w:val="30"/>
          <w:szCs w:val="30"/>
        </w:rPr>
        <w:t xml:space="preserve">      5.坚持自我革命。习近平总书记在党的十九届六中全会上的重要讲话中指出，党的自我革命是我们党为跳出历史周期率给出的“第二个答案”。在十九届中央纪委六次全会上的重要讲话中，习近平总书记对此作出进一步阐释，指出：全面从严治党的伟大实践，“探索出依靠党的自我革命跳出历史周期率的成功路径”，并概括出“六个坚持”的基本路径、“九个坚持”的主要经验。党的十八大以来，党中央三次修订《条例》，充分彰显了我们党推进自我革命的坚定决心和坚强意志。</w:t>
      </w:r>
    </w:p>
    <w:p>
      <w:pPr>
        <w:jc w:val="both"/>
        <w:rPr>
          <w:rFonts w:hint="eastAsia" w:ascii="仿宋" w:hAnsi="仿宋" w:eastAsia="仿宋" w:cs="仿宋"/>
          <w:sz w:val="30"/>
          <w:szCs w:val="30"/>
        </w:rPr>
      </w:pPr>
      <w:r>
        <w:rPr>
          <w:rFonts w:hint="eastAsia" w:ascii="仿宋" w:hAnsi="仿宋" w:eastAsia="仿宋" w:cs="仿宋"/>
          <w:sz w:val="30"/>
          <w:szCs w:val="30"/>
        </w:rPr>
        <w:t xml:space="preserve">      6.贯彻全面从严治党战略方针，落实新时代党的建设总要求。党的十九届六中全会通过的“历史决议”指出：“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凸显了全面从严治党的战略地位，标志着我们党对管党治党规律的认识达到新高度。</w:t>
      </w:r>
    </w:p>
    <w:p>
      <w:pPr>
        <w:jc w:val="both"/>
        <w:rPr>
          <w:rFonts w:hint="eastAsia" w:ascii="仿宋" w:hAnsi="仿宋" w:eastAsia="仿宋" w:cs="仿宋"/>
          <w:sz w:val="30"/>
          <w:szCs w:val="30"/>
        </w:rPr>
      </w:pPr>
      <w:r>
        <w:rPr>
          <w:rFonts w:hint="eastAsia" w:ascii="仿宋" w:hAnsi="仿宋" w:eastAsia="仿宋" w:cs="仿宋"/>
          <w:sz w:val="30"/>
          <w:szCs w:val="30"/>
        </w:rPr>
        <w:t xml:space="preserve">      7.推动解决大党独有难题、健全全面从严治党体系。党的二十大报告明确指出，“我们党作为世界上最大的马克思主义执政党，要始终赢得人民拥护、巩固长期执政地位，必须时刻保持解决大党独有难题的清醒和坚定”，并对健全全面从严治党体系进行了全面部署。习近平总书记在二十届中央纪委三次全会上的重要讲话中指出深入推进党的自我革命实践需要把握好的九个问题，其中的两个就是“以解决大党独有难题为主攻方向”“以健全全面从严治党体系为有效途径”，这也是党的纪律建设的努力方向和工作目标。</w:t>
      </w:r>
    </w:p>
    <w:p>
      <w:pPr>
        <w:jc w:val="both"/>
        <w:rPr>
          <w:rFonts w:hint="eastAsia" w:ascii="仿宋" w:hAnsi="仿宋" w:eastAsia="仿宋" w:cs="仿宋"/>
          <w:sz w:val="30"/>
          <w:szCs w:val="30"/>
        </w:rPr>
      </w:pPr>
      <w:r>
        <w:rPr>
          <w:rFonts w:hint="eastAsia" w:ascii="仿宋" w:hAnsi="仿宋" w:eastAsia="仿宋" w:cs="仿宋"/>
          <w:sz w:val="30"/>
          <w:szCs w:val="30"/>
        </w:rPr>
        <w:t xml:space="preserve">     8.全面加强党的纪律建设。党的二十大报告对“坚持以严的基调强化正风肃纪”作出战略部署，强调“全面加强党的纪律建设”。习近平总书记在二十届中央纪委二次全会上强调，要把纪律建设摆在更加突出位置，党规制定、党纪教育、执纪监督全过程都要贯彻严的要求，既让铁纪“长牙”、发威，又让干部重视、警醒、知止，使全党形成遵规守纪的高度自觉。《条例》在总结实践经验基础上，与时俱进完善纪律规范，有利于充分发挥纪律建设标本兼治的利器作用，推动全面从严治党向纵深发展。</w:t>
      </w:r>
      <w:bookmarkStart w:id="0" w:name="_GoBack"/>
      <w:bookmarkEnd w:id="0"/>
    </w:p>
    <w:p>
      <w:pPr>
        <w:jc w:val="both"/>
        <w:rPr>
          <w:rFonts w:hint="eastAsia" w:ascii="仿宋" w:hAnsi="仿宋" w:eastAsia="仿宋" w:cs="仿宋"/>
          <w:sz w:val="30"/>
          <w:szCs w:val="30"/>
        </w:rPr>
      </w:pPr>
      <w:r>
        <w:rPr>
          <w:rFonts w:hint="eastAsia" w:ascii="仿宋" w:hAnsi="仿宋" w:eastAsia="仿宋" w:cs="仿宋"/>
          <w:sz w:val="30"/>
          <w:szCs w:val="30"/>
        </w:rPr>
        <w:t xml:space="preserve">     9.为以中国式现代化全面推进强国建设、民族复兴伟业提供坚强纪律保障。党的二十大报告中明确提出从现在起中国共产党的中心任务，就是团结带领全国各族人民全面建成社会主义现代化强国、实现第二个百年奋斗目标，以中国式现代化全面推进中华民族伟大复兴。要实现党的中心任务，必然要加强党的纪律建设，提供坚强纪律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60CD7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2024-04-22T06:42:16Z</dcterms:created>
  <dc:creator>Administrator</dc:creator>
  <cp:lastModifiedBy>Administrator</cp:lastModifiedBy>
  <dcterms:modified xsi:type="dcterms:W3CDTF">2024-04-22T06:47:15Z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56D672C43E7C46938689D3DFBC995931_12</vt:lpwstr>
  </property>
</Properties>
</file>