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62626"/>
          <w:spacing w:val="0"/>
          <w:sz w:val="48"/>
          <w:szCs w:val="48"/>
        </w:rPr>
      </w:pPr>
      <w:r>
        <w:rPr>
          <w:rFonts w:ascii="微软雅黑" w:hAnsi="微软雅黑" w:eastAsia="微软雅黑" w:cs="微软雅黑"/>
          <w:b/>
          <w:bCs/>
          <w:i w:val="0"/>
          <w:iCs w:val="0"/>
          <w:caps w:val="0"/>
          <w:color w:val="262626"/>
          <w:spacing w:val="0"/>
          <w:sz w:val="48"/>
          <w:szCs w:val="48"/>
        </w:rPr>
        <w:t>习近平：在纪念毛泽东同志诞辰130周年座谈会上的讲话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今天，我们怀着十分崇敬的心情，在这里隆重集会，纪念中国共产党、中国人民解放军、中华人民共和国的主要缔造者，中国各族人民的伟大领袖毛泽东同志诞辰130周年。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毛泽东同志是伟大的马克思主义者，</w:t>
      </w:r>
      <w:bookmarkStart w:id="0" w:name="_GoBack"/>
      <w:bookmarkEnd w:id="0"/>
      <w:r>
        <w:rPr>
          <w:rFonts w:hint="eastAsia" w:ascii="微软雅黑" w:hAnsi="微软雅黑" w:eastAsia="微软雅黑" w:cs="微软雅黑"/>
          <w:i w:val="0"/>
          <w:iCs w:val="0"/>
          <w:caps w:val="0"/>
          <w:color w:val="262626"/>
          <w:spacing w:val="0"/>
          <w:sz w:val="27"/>
          <w:szCs w:val="27"/>
          <w:bdr w:val="none" w:color="auto" w:sz="0" w:space="0"/>
        </w:rPr>
        <w:t>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在几十年艰难而辉煌的战斗生涯中，毛泽东同志为中华民族、中国人民建立了不可磨灭的历史功勋，作出了光耀千秋的历史贡献。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jc w:val="left"/>
        <w:rPr>
          <w:rFonts w:hint="eastAsia" w:ascii="仿宋_GB2312" w:hAnsi="仿宋_GB2312" w:eastAsia="仿宋_GB2312" w:cs="仿宋_GB2312"/>
          <w:b w:val="0"/>
          <w:bCs w:val="0"/>
          <w:i w:val="0"/>
          <w:iCs w:val="0"/>
          <w:caps w:val="0"/>
          <w:color w:val="262626"/>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618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2023-12-29T00:44:21Z</dcterms:created>
  <dc:creator>Administrator</dc:creator>
  <cp:lastModifiedBy>钱嘉琪</cp:lastModifiedBy>
  <dcterms:modified xsi:type="dcterms:W3CDTF">2023-12-29T00:45:53Z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6E5565A21847451A9D476AA4A2B435C4_12</vt:lpwstr>
  </property>
</Properties>
</file>