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b w:val="0"/>
          <w:bCs/>
          <w:sz w:val="44"/>
          <w:szCs w:val="44"/>
          <w:lang w:val="en-US" w:eastAsia="zh-CN"/>
        </w:rPr>
        <w:t>黄花塔拉苏木人民政府2023年政府信息公开</w:t>
      </w:r>
      <w:r>
        <w:rPr>
          <w:rFonts w:hint="eastAsia" w:ascii="Times New Roman" w:hAnsi="Times New Roman" w:eastAsia="方正小标宋简体" w:cs="方正小标宋简体"/>
          <w:sz w:val="44"/>
          <w:szCs w:val="44"/>
          <w:lang w:val="en-US" w:eastAsia="zh-CN"/>
        </w:rPr>
        <w:t>工作年度报告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年度报告根据《中华人民共和国政府信息公开条例》《国务院办公厅政府信息与政务公开办公室关于印发&lt;中华人民共和国政府信息公开工作年度报告格式&gt;的通知》（国办公开办函〔2021〕30号）编制。全文包括总体情况，主动公开政府信息情况，收到和处理政府信息公开申请情况，因政府信息公开工作申请行政复议、提起行政诉讼情况，政府信息公开工作存在的主要问题及改进情况，其他需要报告的事项等6部分内容。本报告所列数据统计期限为2023年1月1日至2023年12月31日。本报告电子版可从奈曼旗人民政府门户网站下载查阅。如对本年度报告有疑问，请与黄花塔拉苏木人民政府联系（联系地址：奈曼旗五黄段与大阜线交叉口东300米；联系电话：0475-4406006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kern w:val="2"/>
          <w:sz w:val="32"/>
          <w:szCs w:val="32"/>
          <w:highlight w:val="none"/>
          <w:lang w:val="en-US" w:eastAsia="zh-CN" w:bidi="ar-SA"/>
        </w:rPr>
      </w:pPr>
      <w:r>
        <w:rPr>
          <w:rFonts w:hint="eastAsia" w:ascii="Times New Roman" w:hAnsi="Times New Roman" w:eastAsia="黑体" w:cs="黑体"/>
          <w:kern w:val="2"/>
          <w:sz w:val="32"/>
          <w:szCs w:val="32"/>
          <w:highlight w:val="none"/>
          <w:lang w:val="en-US" w:eastAsia="zh-CN" w:bidi="ar-SA"/>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今年以来，黄花塔拉苏木人民政府深入贯彻落实奈曼旗政务公开工作领导小组关于政务公开工作要求，坚持“以公开为常态、不公开为例外”，积极营造规范、透明、高效的政府信息公开环境。在旗政务公开办的具体指导下，进一步加大公开力度，深化公开内容，拓宽公开渠道，扎实推进政务公开各项工作落实，推动政务公开水平稳步提升。现将我苏木2023年政务公开工作总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kern w:val="2"/>
          <w:sz w:val="32"/>
          <w:szCs w:val="32"/>
          <w:highlight w:val="none"/>
          <w:lang w:val="en-US" w:eastAsia="zh-CN" w:bidi="ar-SA"/>
        </w:rPr>
      </w:pPr>
      <w:r>
        <w:rPr>
          <w:rFonts w:hint="eastAsia" w:ascii="Times New Roman" w:hAnsi="Times New Roman" w:eastAsia="楷体_GB2312" w:cs="楷体_GB2312"/>
          <w:kern w:val="2"/>
          <w:sz w:val="32"/>
          <w:szCs w:val="32"/>
          <w:highlight w:val="none"/>
          <w:lang w:val="en-US" w:eastAsia="zh-CN" w:bidi="ar-SA"/>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2023年我苏木通过奈曼旗黄花塔拉苏木三务公开服务平台主动公开机构简介、履职依据、规划计划、工作动态、重点领域等各类信息340条，其中公开政策文件与政策解读16条、重点领域公开196条，财政预决算、文化服务、乡村振兴、涉农补贴、医疗卫生和各类应急预案及公益事业信息等与人民群众切身利益密切相关的各类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kern w:val="2"/>
          <w:sz w:val="32"/>
          <w:szCs w:val="32"/>
          <w:highlight w:val="none"/>
          <w:lang w:val="en-US" w:eastAsia="zh-CN" w:bidi="ar-SA"/>
        </w:rPr>
      </w:pPr>
      <w:r>
        <w:rPr>
          <w:rFonts w:hint="eastAsia" w:ascii="Times New Roman" w:hAnsi="Times New Roman" w:eastAsia="楷体_GB2312" w:cs="楷体_GB2312"/>
          <w:kern w:val="2"/>
          <w:sz w:val="32"/>
          <w:szCs w:val="32"/>
          <w:highlight w:val="none"/>
          <w:lang w:val="en-US" w:eastAsia="zh-CN" w:bidi="ar-SA"/>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pacing w:val="0"/>
          <w:sz w:val="32"/>
          <w:szCs w:val="32"/>
          <w:highlight w:val="none"/>
          <w:lang w:val="en-US" w:eastAsia="zh-CN"/>
        </w:rPr>
      </w:pPr>
      <w:r>
        <w:rPr>
          <w:rFonts w:hint="eastAsia" w:ascii="Times New Roman" w:hAnsi="Times New Roman" w:eastAsia="仿宋_GB2312" w:cs="仿宋_GB2312"/>
          <w:spacing w:val="0"/>
          <w:sz w:val="32"/>
          <w:szCs w:val="32"/>
          <w:highlight w:val="none"/>
          <w:lang w:val="en-US" w:eastAsia="zh-CN"/>
        </w:rPr>
        <w:t>2023年黄花塔拉苏木人民政府未收到政府信息公开的申请。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kern w:val="2"/>
          <w:sz w:val="32"/>
          <w:szCs w:val="32"/>
          <w:highlight w:val="none"/>
          <w:lang w:val="en-US" w:eastAsia="zh-CN" w:bidi="ar-SA"/>
        </w:rPr>
      </w:pPr>
      <w:r>
        <w:rPr>
          <w:rFonts w:hint="eastAsia" w:ascii="Times New Roman" w:hAnsi="Times New Roman" w:eastAsia="楷体_GB2312" w:cs="楷体_GB2312"/>
          <w:kern w:val="2"/>
          <w:sz w:val="32"/>
          <w:szCs w:val="32"/>
          <w:highlight w:val="none"/>
          <w:lang w:val="en-US" w:eastAsia="zh-CN" w:bidi="ar-SA"/>
        </w:rPr>
        <w:t>（三）政府信息管理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黄花塔拉苏木人民政府对政务公开实行动态管理，将主动公开目录作为公开政府信息的重要依据，信息公开流程均严格落实信息发布保密审查制度，坚持“先审查、后公开”，并按照“谁提供，谁审核，谁负责”的原则，以强化政府信息资源的规范化标准化管理，做到政务公开工作人员落实、责任落实、监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kern w:val="2"/>
          <w:sz w:val="32"/>
          <w:szCs w:val="32"/>
          <w:highlight w:val="none"/>
          <w:lang w:val="en-US" w:eastAsia="zh-CN" w:bidi="ar-SA"/>
        </w:rPr>
      </w:pPr>
      <w:r>
        <w:rPr>
          <w:rFonts w:hint="eastAsia" w:ascii="Times New Roman" w:hAnsi="Times New Roman" w:eastAsia="楷体_GB2312" w:cs="楷体_GB2312"/>
          <w:kern w:val="2"/>
          <w:sz w:val="32"/>
          <w:szCs w:val="32"/>
          <w:highlight w:val="none"/>
          <w:lang w:val="en-US" w:eastAsia="zh-CN" w:bidi="ar-SA"/>
        </w:rPr>
        <w:t>（四）政府信息公开平台建设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黄花塔拉苏木现有公开平台为</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黄花塔拉苏木三务公开服务平台、新媒体公众号“迷你黄花塔拉”和线下黄花塔拉苏木三务公开栏。</w:t>
      </w:r>
      <w:r>
        <w:rPr>
          <w:rFonts w:hint="eastAsia" w:ascii="Times New Roman" w:hAnsi="Times New Roman" w:eastAsia="仿宋_GB2312" w:cs="仿宋_GB2312"/>
          <w:sz w:val="32"/>
          <w:szCs w:val="32"/>
          <w:highlight w:val="none"/>
          <w:lang w:val="en-US" w:eastAsia="zh-CN"/>
        </w:rPr>
        <w:t>政务公开领导小组负责对各部门需要公开的内容进行信息发布审核，有指定专人负责网站更新工作，保障政务公开工作有序推进。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kern w:val="2"/>
          <w:sz w:val="32"/>
          <w:szCs w:val="32"/>
          <w:highlight w:val="none"/>
          <w:lang w:val="en-US" w:eastAsia="zh-CN" w:bidi="ar-SA"/>
        </w:rPr>
      </w:pPr>
      <w:r>
        <w:rPr>
          <w:rFonts w:hint="eastAsia" w:ascii="Times New Roman" w:hAnsi="Times New Roman" w:eastAsia="楷体_GB2312" w:cs="楷体_GB2312"/>
          <w:kern w:val="2"/>
          <w:sz w:val="32"/>
          <w:szCs w:val="32"/>
          <w:highlight w:val="none"/>
          <w:lang w:val="en-US" w:eastAsia="zh-CN" w:bidi="ar-SA"/>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Times New Roman" w:hAnsi="Times New Roman" w:eastAsia="仿宋_GB2312" w:cs="仿宋_GB2312"/>
          <w:i w:val="0"/>
          <w:caps w:val="0"/>
          <w:color w:val="000000"/>
          <w:spacing w:val="0"/>
          <w:kern w:val="0"/>
          <w:sz w:val="32"/>
          <w:szCs w:val="32"/>
          <w:highlight w:val="none"/>
          <w:lang w:val="en-US" w:eastAsia="zh-CN" w:bidi="ar"/>
        </w:rPr>
        <w:t>黄花塔拉苏木人民政府</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认真贯彻落实《中华人民共和国政府信息公开条例》、《自治区政务公开地方标准》及上级相关工作规定，高度重视政府信息公开工作，建立健全政府信息公开工作考核制度、社会评议制度和责任追究制度，定期对政府信息公开工作进行考核、评议。一、明确职责，推进信息公开的落实。指派专人根据公开工作内容及时在奈曼旗黄花塔拉苏木三务公开服务平台进行公开。二、加强监督，对未按照开展政府信息公开工作的行政机关和部门综合运用通报、约谈等方式推进政府信息公开的落实。依法履行政府信息公开工作职能，做到主动公开、保证时效。</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jc w:val="both"/>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二、主动公开政府信息情况</w:t>
      </w:r>
    </w:p>
    <w:tbl>
      <w:tblPr>
        <w:tblStyle w:val="4"/>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2203"/>
        <w:gridCol w:w="1893"/>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580" w:type="dxa"/>
            <w:gridSpan w:val="4"/>
            <w:shd w:val="clear" w:color="auto" w:fill="BDD6EE"/>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3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信息内容</w:t>
            </w:r>
          </w:p>
        </w:tc>
        <w:tc>
          <w:tcPr>
            <w:tcW w:w="22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本年制发件数</w:t>
            </w:r>
          </w:p>
        </w:tc>
        <w:tc>
          <w:tcPr>
            <w:tcW w:w="18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本年废止件数</w:t>
            </w:r>
          </w:p>
        </w:tc>
        <w:tc>
          <w:tcPr>
            <w:tcW w:w="21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规章</w:t>
            </w:r>
          </w:p>
        </w:tc>
        <w:tc>
          <w:tcPr>
            <w:tcW w:w="22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0</w:t>
            </w:r>
          </w:p>
        </w:tc>
        <w:tc>
          <w:tcPr>
            <w:tcW w:w="18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0</w:t>
            </w:r>
          </w:p>
        </w:tc>
        <w:tc>
          <w:tcPr>
            <w:tcW w:w="21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行政规范性文件</w:t>
            </w:r>
          </w:p>
        </w:tc>
        <w:tc>
          <w:tcPr>
            <w:tcW w:w="22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0</w:t>
            </w:r>
          </w:p>
        </w:tc>
        <w:tc>
          <w:tcPr>
            <w:tcW w:w="18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0</w:t>
            </w:r>
          </w:p>
        </w:tc>
        <w:tc>
          <w:tcPr>
            <w:tcW w:w="21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580" w:type="dxa"/>
            <w:gridSpan w:val="4"/>
            <w:shd w:val="clear" w:color="auto" w:fill="BDD6EE"/>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信息内容</w:t>
            </w:r>
          </w:p>
        </w:tc>
        <w:tc>
          <w:tcPr>
            <w:tcW w:w="6247"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行政许可</w:t>
            </w:r>
          </w:p>
        </w:tc>
        <w:tc>
          <w:tcPr>
            <w:tcW w:w="6247"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80" w:type="dxa"/>
            <w:gridSpan w:val="4"/>
            <w:shd w:val="clear" w:color="auto" w:fill="C7DAF1"/>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3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信息内容</w:t>
            </w:r>
          </w:p>
        </w:tc>
        <w:tc>
          <w:tcPr>
            <w:tcW w:w="6247"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3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行政处罚</w:t>
            </w:r>
          </w:p>
        </w:tc>
        <w:tc>
          <w:tcPr>
            <w:tcW w:w="6247"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3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行政强制</w:t>
            </w:r>
          </w:p>
        </w:tc>
        <w:tc>
          <w:tcPr>
            <w:tcW w:w="6247"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580" w:type="dxa"/>
            <w:gridSpan w:val="4"/>
            <w:shd w:val="clear" w:color="auto" w:fill="C7DAF1"/>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信息内容</w:t>
            </w:r>
          </w:p>
        </w:tc>
        <w:tc>
          <w:tcPr>
            <w:tcW w:w="6247"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行政事业性收费</w:t>
            </w:r>
          </w:p>
        </w:tc>
        <w:tc>
          <w:tcPr>
            <w:tcW w:w="6247"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0</w:t>
            </w: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三、收到和处理政府信息公开申请情况</w:t>
      </w:r>
    </w:p>
    <w:tbl>
      <w:tblPr>
        <w:tblStyle w:val="3"/>
        <w:tblpPr w:leftFromText="180" w:rightFromText="180" w:vertAnchor="text" w:horzAnchor="page" w:tblpXSpec="center" w:tblpY="622"/>
        <w:tblOverlap w:val="never"/>
        <w:tblW w:w="974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
      <w:tblGrid>
        <w:gridCol w:w="880"/>
        <w:gridCol w:w="1076"/>
        <w:gridCol w:w="3144"/>
        <w:gridCol w:w="663"/>
        <w:gridCol w:w="663"/>
        <w:gridCol w:w="663"/>
        <w:gridCol w:w="663"/>
        <w:gridCol w:w="663"/>
        <w:gridCol w:w="663"/>
        <w:gridCol w:w="6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5100" w:type="dxa"/>
            <w:gridSpan w:val="3"/>
            <w:vMerge w:val="restart"/>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ascii="Times New Roman" w:hAnsi="Times New Roman" w:eastAsia="楷体" w:cs="楷体"/>
                <w:kern w:val="0"/>
                <w:sz w:val="20"/>
                <w:szCs w:val="20"/>
                <w:lang w:val="en-US" w:eastAsia="zh-CN" w:bidi="ar"/>
              </w:rPr>
              <w:t>（本列数据的勾稽关系为：第一项加第二项之和，等于第三项加第四项之和）</w:t>
            </w:r>
          </w:p>
        </w:tc>
        <w:tc>
          <w:tcPr>
            <w:tcW w:w="4641" w:type="dxa"/>
            <w:gridSpan w:val="7"/>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5100" w:type="dxa"/>
            <w:gridSpan w:val="3"/>
            <w:vMerge w:val="continue"/>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rPr>
                <w:rFonts w:hint="eastAsia" w:ascii="Times New Roman" w:hAnsi="Times New Roman"/>
                <w:sz w:val="24"/>
                <w:szCs w:val="24"/>
              </w:rPr>
            </w:pPr>
          </w:p>
        </w:tc>
        <w:tc>
          <w:tcPr>
            <w:tcW w:w="663" w:type="dxa"/>
            <w:vMerge w:val="restart"/>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自然人</w:t>
            </w:r>
          </w:p>
        </w:tc>
        <w:tc>
          <w:tcPr>
            <w:tcW w:w="3315" w:type="dxa"/>
            <w:gridSpan w:val="5"/>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法人或其他组织</w:t>
            </w:r>
          </w:p>
        </w:tc>
        <w:tc>
          <w:tcPr>
            <w:tcW w:w="663" w:type="dxa"/>
            <w:vMerge w:val="restart"/>
            <w:tcBorders>
              <w:top w:val="single" w:color="auto" w:sz="8" w:space="0"/>
              <w:left w:val="nil"/>
              <w:bottom w:val="outset" w:color="auto" w:sz="6"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5100" w:type="dxa"/>
            <w:gridSpan w:val="3"/>
            <w:vMerge w:val="continue"/>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rPr>
                <w:rFonts w:hint="eastAsia" w:ascii="Times New Roman" w:hAnsi="Times New Roman"/>
                <w:sz w:val="24"/>
                <w:szCs w:val="24"/>
              </w:rPr>
            </w:pPr>
          </w:p>
        </w:tc>
        <w:tc>
          <w:tcPr>
            <w:tcW w:w="663" w:type="dxa"/>
            <w:vMerge w:val="continue"/>
            <w:tcBorders>
              <w:top w:val="nil"/>
              <w:left w:val="nil"/>
              <w:bottom w:val="single" w:color="auto" w:sz="8" w:space="0"/>
              <w:right w:val="single" w:color="auto" w:sz="8" w:space="0"/>
            </w:tcBorders>
            <w:noWrap w:val="0"/>
            <w:vAlign w:val="center"/>
          </w:tcPr>
          <w:p>
            <w:pPr>
              <w:rPr>
                <w:rFonts w:hint="eastAsia" w:ascii="Times New Roman" w:hAnsi="Times New Roman"/>
                <w:sz w:val="24"/>
                <w:szCs w:val="24"/>
              </w:rPr>
            </w:pPr>
          </w:p>
        </w:tc>
        <w:tc>
          <w:tcPr>
            <w:tcW w:w="66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商业</w:t>
            </w:r>
          </w:p>
          <w:p>
            <w:pPr>
              <w:keepNext w:val="0"/>
              <w:keepLines w:val="0"/>
              <w:widowControl/>
              <w:suppressLineNumbers w:val="0"/>
              <w:spacing w:before="100" w:beforeAutospacing="1" w:after="0" w:afterLines="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企业</w:t>
            </w:r>
          </w:p>
        </w:tc>
        <w:tc>
          <w:tcPr>
            <w:tcW w:w="66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科研</w:t>
            </w:r>
          </w:p>
          <w:p>
            <w:pPr>
              <w:keepNext w:val="0"/>
              <w:keepLines w:val="0"/>
              <w:widowControl/>
              <w:suppressLineNumbers w:val="0"/>
              <w:spacing w:before="100" w:beforeAutospacing="1" w:after="0" w:afterLines="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机构</w:t>
            </w:r>
          </w:p>
        </w:tc>
        <w:tc>
          <w:tcPr>
            <w:tcW w:w="663"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社会公益组织</w:t>
            </w:r>
          </w:p>
        </w:tc>
        <w:tc>
          <w:tcPr>
            <w:tcW w:w="663"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法律服务机构</w:t>
            </w:r>
          </w:p>
        </w:tc>
        <w:tc>
          <w:tcPr>
            <w:tcW w:w="663"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其他</w:t>
            </w:r>
          </w:p>
        </w:tc>
        <w:tc>
          <w:tcPr>
            <w:tcW w:w="663" w:type="dxa"/>
            <w:vMerge w:val="continue"/>
            <w:tcBorders>
              <w:top w:val="single" w:color="auto" w:sz="8" w:space="0"/>
              <w:left w:val="nil"/>
              <w:bottom w:val="outset" w:color="auto" w:sz="6" w:space="0"/>
              <w:right w:val="single" w:color="auto" w:sz="8" w:space="0"/>
            </w:tcBorders>
            <w:noWrap w:val="0"/>
            <w:vAlign w:val="center"/>
          </w:tcPr>
          <w:p>
            <w:pPr>
              <w:rPr>
                <w:rFonts w:hint="eastAsia" w:ascii="Times New Roman" w:hAnsi="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5100" w:type="dxa"/>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一、本年新收政府信息公开申请数量</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5100" w:type="dxa"/>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二、上年结转政府信息公开申请数量</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restart"/>
            <w:tcBorders>
              <w:top w:val="nil"/>
              <w:left w:val="single" w:color="auto" w:sz="8" w:space="0"/>
              <w:bottom w:val="outset" w:color="auto" w:sz="6"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三、本年度办理结果</w:t>
            </w:r>
          </w:p>
        </w:tc>
        <w:tc>
          <w:tcPr>
            <w:tcW w:w="4220"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（一）予以公开</w:t>
            </w:r>
          </w:p>
        </w:tc>
        <w:tc>
          <w:tcPr>
            <w:tcW w:w="663" w:type="dxa"/>
            <w:tcBorders>
              <w:top w:val="nil"/>
              <w:left w:val="nil"/>
              <w:bottom w:val="single" w:color="auto" w:sz="8" w:space="0"/>
              <w:right w:val="single" w:color="auto" w:sz="8" w:space="0"/>
            </w:tcBorders>
            <w:noWrap w:val="0"/>
            <w:vAlign w:val="center"/>
          </w:tcPr>
          <w:p>
            <w:pP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4220"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（二）部分公开</w:t>
            </w:r>
            <w:r>
              <w:rPr>
                <w:rFonts w:hint="eastAsia" w:ascii="Times New Roman" w:hAnsi="Times New Roman" w:eastAsia="楷体" w:cs="楷体"/>
                <w:kern w:val="0"/>
                <w:sz w:val="20"/>
                <w:szCs w:val="20"/>
                <w:lang w:val="en-US" w:eastAsia="zh-CN" w:bidi="ar"/>
              </w:rPr>
              <w:t>（区分处理的，只计这一情形，不计其他情形）</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restart"/>
            <w:tcBorders>
              <w:top w:val="nil"/>
              <w:left w:val="nil"/>
              <w:bottom w:val="outset" w:color="auto" w:sz="6"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（三）不予公开</w:t>
            </w:r>
          </w:p>
        </w:tc>
        <w:tc>
          <w:tcPr>
            <w:tcW w:w="3144"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1.属于国家秘密</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continue"/>
            <w:tcBorders>
              <w:top w:val="nil"/>
              <w:left w:val="nil"/>
              <w:bottom w:val="outset" w:color="auto" w:sz="6" w:space="0"/>
              <w:right w:val="single" w:color="auto" w:sz="8" w:space="0"/>
            </w:tcBorders>
            <w:noWrap w:val="0"/>
            <w:vAlign w:val="center"/>
          </w:tcPr>
          <w:p>
            <w:pPr>
              <w:rPr>
                <w:rFonts w:hint="eastAsia" w:ascii="Times New Roman" w:hAnsi="Times New Roman"/>
                <w:sz w:val="24"/>
                <w:szCs w:val="24"/>
              </w:rPr>
            </w:pPr>
          </w:p>
        </w:tc>
        <w:tc>
          <w:tcPr>
            <w:tcW w:w="3144"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2.其他法律行政法规禁止公开</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continue"/>
            <w:tcBorders>
              <w:top w:val="nil"/>
              <w:left w:val="nil"/>
              <w:bottom w:val="outset" w:color="auto" w:sz="6" w:space="0"/>
              <w:right w:val="single" w:color="auto" w:sz="8" w:space="0"/>
            </w:tcBorders>
            <w:noWrap w:val="0"/>
            <w:vAlign w:val="center"/>
          </w:tcPr>
          <w:p>
            <w:pPr>
              <w:rPr>
                <w:rFonts w:hint="eastAsia" w:ascii="Times New Roman" w:hAnsi="Times New Roman"/>
                <w:sz w:val="24"/>
                <w:szCs w:val="24"/>
              </w:rPr>
            </w:pPr>
          </w:p>
        </w:tc>
        <w:tc>
          <w:tcPr>
            <w:tcW w:w="3144"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3.危及“三安全一稳定”</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continue"/>
            <w:tcBorders>
              <w:top w:val="nil"/>
              <w:left w:val="nil"/>
              <w:bottom w:val="outset" w:color="auto" w:sz="6" w:space="0"/>
              <w:right w:val="single" w:color="auto" w:sz="8" w:space="0"/>
            </w:tcBorders>
            <w:noWrap w:val="0"/>
            <w:vAlign w:val="center"/>
          </w:tcPr>
          <w:p>
            <w:pPr>
              <w:rPr>
                <w:rFonts w:hint="eastAsia" w:ascii="Times New Roman" w:hAnsi="Times New Roman"/>
                <w:sz w:val="24"/>
                <w:szCs w:val="24"/>
              </w:rPr>
            </w:pPr>
          </w:p>
        </w:tc>
        <w:tc>
          <w:tcPr>
            <w:tcW w:w="3144"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4.保护第三方合法权益</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continue"/>
            <w:tcBorders>
              <w:top w:val="nil"/>
              <w:left w:val="nil"/>
              <w:bottom w:val="outset" w:color="auto" w:sz="6" w:space="0"/>
              <w:right w:val="single" w:color="auto" w:sz="8" w:space="0"/>
            </w:tcBorders>
            <w:noWrap w:val="0"/>
            <w:vAlign w:val="center"/>
          </w:tcPr>
          <w:p>
            <w:pPr>
              <w:rPr>
                <w:rFonts w:hint="eastAsia" w:ascii="Times New Roman" w:hAnsi="Times New Roman"/>
                <w:sz w:val="24"/>
                <w:szCs w:val="24"/>
              </w:rPr>
            </w:pPr>
          </w:p>
        </w:tc>
        <w:tc>
          <w:tcPr>
            <w:tcW w:w="3144"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5.属于三类内部事务信息</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continue"/>
            <w:tcBorders>
              <w:top w:val="nil"/>
              <w:left w:val="nil"/>
              <w:bottom w:val="outset" w:color="auto" w:sz="6" w:space="0"/>
              <w:right w:val="single" w:color="auto" w:sz="8" w:space="0"/>
            </w:tcBorders>
            <w:noWrap w:val="0"/>
            <w:vAlign w:val="center"/>
          </w:tcPr>
          <w:p>
            <w:pPr>
              <w:rPr>
                <w:rFonts w:hint="eastAsia" w:ascii="Times New Roman" w:hAnsi="Times New Roman"/>
                <w:sz w:val="24"/>
                <w:szCs w:val="24"/>
              </w:rPr>
            </w:pPr>
          </w:p>
        </w:tc>
        <w:tc>
          <w:tcPr>
            <w:tcW w:w="3144"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6.属于四类过程性信息</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continue"/>
            <w:tcBorders>
              <w:top w:val="nil"/>
              <w:left w:val="nil"/>
              <w:bottom w:val="outset" w:color="auto" w:sz="6" w:space="0"/>
              <w:right w:val="single" w:color="auto" w:sz="8" w:space="0"/>
            </w:tcBorders>
            <w:noWrap w:val="0"/>
            <w:vAlign w:val="center"/>
          </w:tcPr>
          <w:p>
            <w:pPr>
              <w:rPr>
                <w:rFonts w:hint="eastAsia" w:ascii="Times New Roman" w:hAnsi="Times New Roman"/>
                <w:sz w:val="24"/>
                <w:szCs w:val="24"/>
              </w:rPr>
            </w:pPr>
          </w:p>
        </w:tc>
        <w:tc>
          <w:tcPr>
            <w:tcW w:w="3144"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7.属于行政执法案卷</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continue"/>
            <w:tcBorders>
              <w:top w:val="nil"/>
              <w:left w:val="nil"/>
              <w:bottom w:val="outset" w:color="auto" w:sz="6" w:space="0"/>
              <w:right w:val="single" w:color="auto" w:sz="8" w:space="0"/>
            </w:tcBorders>
            <w:noWrap w:val="0"/>
            <w:vAlign w:val="center"/>
          </w:tcPr>
          <w:p>
            <w:pPr>
              <w:rPr>
                <w:rFonts w:hint="eastAsia" w:ascii="Times New Roman" w:hAnsi="Times New Roman"/>
                <w:sz w:val="24"/>
                <w:szCs w:val="24"/>
              </w:rPr>
            </w:pPr>
          </w:p>
        </w:tc>
        <w:tc>
          <w:tcPr>
            <w:tcW w:w="3144"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8.属于行政查询事项</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restart"/>
            <w:tcBorders>
              <w:top w:val="nil"/>
              <w:left w:val="nil"/>
              <w:bottom w:val="outset" w:color="auto" w:sz="6"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（四）无法提供</w:t>
            </w:r>
          </w:p>
        </w:tc>
        <w:tc>
          <w:tcPr>
            <w:tcW w:w="3144"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1.本机关不掌握相关政府信息</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continue"/>
            <w:tcBorders>
              <w:top w:val="nil"/>
              <w:left w:val="nil"/>
              <w:bottom w:val="outset" w:color="auto" w:sz="6" w:space="0"/>
              <w:right w:val="single" w:color="auto" w:sz="8" w:space="0"/>
            </w:tcBorders>
            <w:noWrap w:val="0"/>
            <w:vAlign w:val="center"/>
          </w:tcPr>
          <w:p>
            <w:pPr>
              <w:rPr>
                <w:rFonts w:hint="eastAsia" w:ascii="Times New Roman" w:hAnsi="Times New Roman"/>
                <w:sz w:val="24"/>
                <w:szCs w:val="24"/>
              </w:rPr>
            </w:pPr>
          </w:p>
        </w:tc>
        <w:tc>
          <w:tcPr>
            <w:tcW w:w="3144"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2.没有现成信息需要另行制作</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continue"/>
            <w:tcBorders>
              <w:top w:val="nil"/>
              <w:left w:val="nil"/>
              <w:bottom w:val="outset" w:color="auto" w:sz="6" w:space="0"/>
              <w:right w:val="single" w:color="auto" w:sz="8" w:space="0"/>
            </w:tcBorders>
            <w:noWrap w:val="0"/>
            <w:vAlign w:val="center"/>
          </w:tcPr>
          <w:p>
            <w:pPr>
              <w:rPr>
                <w:rFonts w:hint="eastAsia" w:ascii="Times New Roman" w:hAnsi="Times New Roman"/>
                <w:sz w:val="24"/>
                <w:szCs w:val="24"/>
              </w:rPr>
            </w:pPr>
          </w:p>
        </w:tc>
        <w:tc>
          <w:tcPr>
            <w:tcW w:w="3144"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3.补正后申请内容仍不明确</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restart"/>
            <w:tcBorders>
              <w:top w:val="nil"/>
              <w:left w:val="nil"/>
              <w:bottom w:val="outset" w:color="auto" w:sz="6"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（五）不予处理</w:t>
            </w:r>
          </w:p>
        </w:tc>
        <w:tc>
          <w:tcPr>
            <w:tcW w:w="3144"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1.信访举报投诉类申请</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continue"/>
            <w:tcBorders>
              <w:top w:val="nil"/>
              <w:left w:val="nil"/>
              <w:bottom w:val="outset" w:color="auto" w:sz="6" w:space="0"/>
              <w:right w:val="single" w:color="auto" w:sz="8" w:space="0"/>
            </w:tcBorders>
            <w:noWrap w:val="0"/>
            <w:vAlign w:val="center"/>
          </w:tcPr>
          <w:p>
            <w:pPr>
              <w:rPr>
                <w:rFonts w:hint="eastAsia" w:ascii="Times New Roman" w:hAnsi="Times New Roman"/>
                <w:sz w:val="24"/>
                <w:szCs w:val="24"/>
              </w:rPr>
            </w:pPr>
          </w:p>
        </w:tc>
        <w:tc>
          <w:tcPr>
            <w:tcW w:w="3144"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2.重复申请</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continue"/>
            <w:tcBorders>
              <w:top w:val="nil"/>
              <w:left w:val="nil"/>
              <w:bottom w:val="outset" w:color="auto" w:sz="6" w:space="0"/>
              <w:right w:val="single" w:color="auto" w:sz="8" w:space="0"/>
            </w:tcBorders>
            <w:noWrap w:val="0"/>
            <w:vAlign w:val="center"/>
          </w:tcPr>
          <w:p>
            <w:pPr>
              <w:rPr>
                <w:rFonts w:hint="eastAsia" w:ascii="Times New Roman" w:hAnsi="Times New Roman"/>
                <w:sz w:val="24"/>
                <w:szCs w:val="24"/>
              </w:rPr>
            </w:pPr>
          </w:p>
        </w:tc>
        <w:tc>
          <w:tcPr>
            <w:tcW w:w="3144"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3.要求提供公开出版物</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continue"/>
            <w:tcBorders>
              <w:top w:val="nil"/>
              <w:left w:val="nil"/>
              <w:bottom w:val="outset" w:color="auto" w:sz="6" w:space="0"/>
              <w:right w:val="single" w:color="auto" w:sz="8" w:space="0"/>
            </w:tcBorders>
            <w:noWrap w:val="0"/>
            <w:vAlign w:val="center"/>
          </w:tcPr>
          <w:p>
            <w:pPr>
              <w:rPr>
                <w:rFonts w:hint="eastAsia" w:ascii="Times New Roman" w:hAnsi="Times New Roman"/>
                <w:sz w:val="24"/>
                <w:szCs w:val="24"/>
              </w:rPr>
            </w:pPr>
          </w:p>
        </w:tc>
        <w:tc>
          <w:tcPr>
            <w:tcW w:w="3144"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4.无正当理由大量反复申请</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single" w:color="auto" w:sz="8" w:space="0"/>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continue"/>
            <w:tcBorders>
              <w:top w:val="nil"/>
              <w:left w:val="nil"/>
              <w:bottom w:val="outset" w:color="auto" w:sz="6" w:space="0"/>
              <w:right w:val="single" w:color="auto" w:sz="8" w:space="0"/>
            </w:tcBorders>
            <w:noWrap w:val="0"/>
            <w:vAlign w:val="center"/>
          </w:tcPr>
          <w:p>
            <w:pPr>
              <w:rPr>
                <w:rFonts w:hint="eastAsia" w:ascii="Times New Roman" w:hAnsi="Times New Roman"/>
                <w:sz w:val="24"/>
                <w:szCs w:val="24"/>
              </w:rPr>
            </w:pPr>
          </w:p>
        </w:tc>
        <w:tc>
          <w:tcPr>
            <w:tcW w:w="3144" w:type="dxa"/>
            <w:tcBorders>
              <w:top w:val="nil"/>
              <w:left w:val="nil"/>
              <w:bottom w:val="outset" w:color="auto" w:sz="6"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bidi="ar"/>
              </w:rPr>
              <w:t>5.要求行政机关确认或重新出具已获取信息</w:t>
            </w:r>
          </w:p>
        </w:tc>
        <w:tc>
          <w:tcPr>
            <w:tcW w:w="663" w:type="dxa"/>
            <w:tcBorders>
              <w:top w:val="nil"/>
              <w:left w:val="nil"/>
              <w:bottom w:val="outset" w:color="auto" w:sz="6"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outset" w:color="auto" w:sz="6"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outset" w:color="auto" w:sz="6"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outset" w:color="auto" w:sz="6"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outset" w:color="auto" w:sz="6"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outset" w:color="auto" w:sz="6"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outset" w:color="auto" w:sz="6"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restart"/>
            <w:tcBorders>
              <w:top w:val="outset" w:color="auto" w:sz="6" w:space="0"/>
              <w:left w:val="nil"/>
              <w:bottom w:val="outset" w:color="auto" w:sz="6"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（六）其他处理</w:t>
            </w:r>
          </w:p>
        </w:tc>
        <w:tc>
          <w:tcPr>
            <w:tcW w:w="314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bidi="ar"/>
              </w:rPr>
              <w:t>1.申请人无正当理由逾期不补正、行政机关不再处理其政府信息公开申请</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sz w:val="24"/>
                <w:szCs w:val="24"/>
                <w:lang w:val="en-US" w:eastAsia="zh-CN"/>
              </w:rPr>
            </w:pPr>
          </w:p>
          <w:p>
            <w:pPr>
              <w:rPr>
                <w:rFonts w:hint="default" w:ascii="Times New Roman" w:hAnsi="Times New Roman"/>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continue"/>
            <w:tcBorders>
              <w:top w:val="outset" w:color="auto" w:sz="6" w:space="0"/>
              <w:left w:val="nil"/>
              <w:bottom w:val="outset" w:color="auto" w:sz="6" w:space="0"/>
              <w:right w:val="single" w:color="auto" w:sz="8" w:space="0"/>
            </w:tcBorders>
            <w:noWrap w:val="0"/>
            <w:vAlign w:val="center"/>
          </w:tcPr>
          <w:p>
            <w:pPr>
              <w:rPr>
                <w:rFonts w:hint="eastAsia" w:ascii="Times New Roman" w:hAnsi="Times New Roman"/>
                <w:sz w:val="24"/>
                <w:szCs w:val="24"/>
              </w:rPr>
            </w:pPr>
          </w:p>
        </w:tc>
        <w:tc>
          <w:tcPr>
            <w:tcW w:w="314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bidi="ar"/>
              </w:rPr>
              <w:t>2.申请人逾期未按收费通知要求缴纳费用、行政机关不再处理其政府信息公开申请</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p>
          <w:p>
            <w:pP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1076" w:type="dxa"/>
            <w:vMerge w:val="continue"/>
            <w:tcBorders>
              <w:top w:val="outset" w:color="auto" w:sz="6" w:space="0"/>
              <w:left w:val="nil"/>
              <w:bottom w:val="outset" w:color="auto" w:sz="6" w:space="0"/>
              <w:right w:val="single" w:color="auto" w:sz="8" w:space="0"/>
            </w:tcBorders>
            <w:noWrap w:val="0"/>
            <w:vAlign w:val="center"/>
          </w:tcPr>
          <w:p>
            <w:pPr>
              <w:rPr>
                <w:rFonts w:hint="eastAsia" w:ascii="Times New Roman" w:hAnsi="Times New Roman"/>
                <w:sz w:val="24"/>
                <w:szCs w:val="24"/>
              </w:rPr>
            </w:pPr>
          </w:p>
        </w:tc>
        <w:tc>
          <w:tcPr>
            <w:tcW w:w="314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3.其他</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880" w:type="dxa"/>
            <w:vMerge w:val="continue"/>
            <w:tcBorders>
              <w:top w:val="nil"/>
              <w:left w:val="single" w:color="auto" w:sz="8" w:space="0"/>
              <w:bottom w:val="outset" w:color="auto" w:sz="6" w:space="0"/>
              <w:right w:val="single" w:color="auto" w:sz="8" w:space="0"/>
            </w:tcBorders>
            <w:noWrap w:val="0"/>
            <w:vAlign w:val="center"/>
          </w:tcPr>
          <w:p>
            <w:pPr>
              <w:rPr>
                <w:rFonts w:hint="eastAsia" w:ascii="Times New Roman" w:hAnsi="Times New Roman"/>
                <w:sz w:val="24"/>
                <w:szCs w:val="24"/>
              </w:rPr>
            </w:pPr>
          </w:p>
        </w:tc>
        <w:tc>
          <w:tcPr>
            <w:tcW w:w="4220"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（七）总计</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top"/>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5100" w:type="dxa"/>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四、结转下年度继续办理</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nil"/>
              <w:left w:val="nil"/>
              <w:bottom w:val="single" w:color="auto" w:sz="8" w:space="0"/>
              <w:right w:val="single" w:color="auto" w:sz="8"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c>
          <w:tcPr>
            <w:tcW w:w="663" w:type="dxa"/>
            <w:tcBorders>
              <w:top w:val="outset" w:color="auto" w:sz="6" w:space="0"/>
              <w:left w:val="nil"/>
              <w:bottom w:val="outset" w:color="auto" w:sz="6" w:space="0"/>
              <w:right w:val="outset" w:color="auto" w:sz="6" w:space="0"/>
            </w:tcBorders>
            <w:noWrap w:val="0"/>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四、政府信息公开行政复议、行政诉讼情况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84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行政复议</w:t>
            </w:r>
          </w:p>
        </w:tc>
        <w:tc>
          <w:tcPr>
            <w:tcW w:w="5682"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结果维持</w:t>
            </w:r>
          </w:p>
        </w:tc>
        <w:tc>
          <w:tcPr>
            <w:tcW w:w="5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结果纠正</w:t>
            </w:r>
          </w:p>
        </w:tc>
        <w:tc>
          <w:tcPr>
            <w:tcW w:w="5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其他结果</w:t>
            </w:r>
          </w:p>
        </w:tc>
        <w:tc>
          <w:tcPr>
            <w:tcW w:w="5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尚未审结</w:t>
            </w:r>
          </w:p>
        </w:tc>
        <w:tc>
          <w:tcPr>
            <w:tcW w:w="5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总计</w:t>
            </w:r>
          </w:p>
        </w:tc>
        <w:tc>
          <w:tcPr>
            <w:tcW w:w="284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未经复议直接起诉</w:t>
            </w:r>
          </w:p>
        </w:tc>
        <w:tc>
          <w:tcPr>
            <w:tcW w:w="28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5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p>
        </w:tc>
        <w:tc>
          <w:tcPr>
            <w:tcW w:w="5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p>
        </w:tc>
        <w:tc>
          <w:tcPr>
            <w:tcW w:w="5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p>
        </w:tc>
        <w:tc>
          <w:tcPr>
            <w:tcW w:w="5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p>
        </w:tc>
        <w:tc>
          <w:tcPr>
            <w:tcW w:w="5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结果维持</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结果纠正</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其他结果</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尚未审结</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总计</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结果维持</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结果纠正</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其他结果</w:t>
            </w:r>
          </w:p>
        </w:tc>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尚未审结</w:t>
            </w:r>
          </w:p>
        </w:tc>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0</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0</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0</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0</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0</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0</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0</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0</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0</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0</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0</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0</w:t>
            </w:r>
          </w:p>
        </w:tc>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0</w:t>
            </w:r>
          </w:p>
        </w:tc>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0</w:t>
            </w:r>
          </w:p>
        </w:tc>
        <w:tc>
          <w:tcPr>
            <w:tcW w:w="56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仿宋_GB2312"/>
                <w:sz w:val="24"/>
                <w:szCs w:val="32"/>
                <w:highlight w:val="none"/>
                <w:lang w:val="en-US" w:eastAsia="zh-CN"/>
              </w:rPr>
            </w:pPr>
            <w:r>
              <w:rPr>
                <w:rFonts w:hint="eastAsia" w:ascii="Times New Roman" w:hAnsi="Times New Roman" w:eastAsia="仿宋_GB2312" w:cs="仿宋_GB2312"/>
                <w:sz w:val="24"/>
                <w:szCs w:val="32"/>
                <w:highlight w:val="no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b/>
          <w:bCs/>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（一）存在问题：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一是养老补贴信息公开发布缺乏连续性，不及时情况。二是政府文件政策解读质量不高，重点领域结果类的信息较少。三是涉农补贴农业生产发展资金在村级公开的较少。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
          <w:bCs/>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一是注重政务公开工作的时效性，增强主动意识，在信息形成20个工作日内及时发布。二是召开政策解读专题会议，围绕基层政务公开标准化、规范化的目标要求，提高公开信息质量。三是组织培训村级三务公开工作人员，加强村内线下公开栏工作，强化责任意识和服务意识，切实提高政务公开工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（一）收取政府信息公开信息处理费情况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微软雅黑" w:cs="微软雅黑"/>
          <w:i w:val="0"/>
          <w:iCs w:val="0"/>
          <w:caps w:val="0"/>
          <w:color w:val="333333"/>
          <w:spacing w:val="0"/>
          <w:sz w:val="32"/>
          <w:szCs w:val="32"/>
          <w:highlight w:val="none"/>
          <w:u w:val="none"/>
          <w:shd w:val="clear" w:color="auto" w:fill="FFFFFF"/>
          <w:lang w:eastAsia="zh-CN"/>
        </w:rPr>
      </w:pPr>
      <w:r>
        <w:rPr>
          <w:rFonts w:hint="eastAsia" w:ascii="Times New Roman" w:hAnsi="Times New Roman" w:eastAsia="仿宋_GB2312" w:cs="仿宋_GB2312"/>
          <w:sz w:val="32"/>
          <w:szCs w:val="32"/>
          <w:highlight w:val="none"/>
          <w:lang w:val="en-US" w:eastAsia="zh-CN"/>
        </w:rPr>
        <w:t>本年度奈曼旗黄花塔拉苏木人民政府未收取政府信息公开</w:t>
      </w:r>
      <w:r>
        <w:rPr>
          <w:rFonts w:hint="eastAsia" w:ascii="Times New Roman" w:hAnsi="Times New Roman" w:eastAsia="仿宋_GB2312" w:cs="仿宋_GB2312"/>
          <w:strike w:val="0"/>
          <w:dstrike w:val="0"/>
          <w:sz w:val="32"/>
          <w:szCs w:val="32"/>
          <w:highlight w:val="none"/>
          <w:lang w:val="en-US" w:eastAsia="zh-CN"/>
        </w:rPr>
        <w:t>信息</w:t>
      </w:r>
      <w:r>
        <w:rPr>
          <w:rFonts w:hint="eastAsia" w:ascii="Times New Roman" w:hAnsi="Times New Roman" w:eastAsia="仿宋_GB2312" w:cs="仿宋_GB2312"/>
          <w:sz w:val="32"/>
          <w:szCs w:val="32"/>
          <w:highlight w:val="none"/>
          <w:lang w:val="en-US" w:eastAsia="zh-CN"/>
        </w:rPr>
        <w:t>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（二）其他需要通过年度报告予以报告的事项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我苏木严格按旗政务公开领导小组对政府信息公开工作要求，</w:t>
      </w:r>
      <w:r>
        <w:rPr>
          <w:rFonts w:hint="eastAsia" w:ascii="仿宋_GB2312" w:hAnsi="仿宋_GB2312" w:eastAsia="仿宋_GB2312" w:cs="仿宋_GB2312"/>
          <w:i w:val="0"/>
          <w:iCs w:val="0"/>
          <w:caps w:val="0"/>
          <w:color w:val="333333"/>
          <w:spacing w:val="0"/>
          <w:sz w:val="32"/>
          <w:szCs w:val="32"/>
          <w:shd w:val="clear" w:fill="FFFFFF"/>
        </w:rPr>
        <w:t>及时</w:t>
      </w:r>
      <w:r>
        <w:rPr>
          <w:rFonts w:hint="eastAsia" w:ascii="仿宋_GB2312" w:hAnsi="仿宋_GB2312" w:eastAsia="仿宋_GB2312" w:cs="仿宋_GB2312"/>
          <w:i w:val="0"/>
          <w:iCs w:val="0"/>
          <w:caps w:val="0"/>
          <w:color w:val="333333"/>
          <w:spacing w:val="0"/>
          <w:sz w:val="32"/>
          <w:szCs w:val="32"/>
          <w:shd w:val="clear" w:fill="FFFFFF"/>
          <w:lang w:val="en-US" w:eastAsia="zh-CN"/>
        </w:rPr>
        <w:t>发布和转载就业岗位信息7条，公开文化演出活动8条，</w:t>
      </w:r>
      <w:r>
        <w:rPr>
          <w:rFonts w:hint="eastAsia" w:ascii="仿宋_GB2312" w:hAnsi="仿宋_GB2312" w:eastAsia="仿宋_GB2312" w:cs="仿宋_GB2312"/>
          <w:i w:val="0"/>
          <w:iCs w:val="0"/>
          <w:caps w:val="0"/>
          <w:color w:val="333333"/>
          <w:spacing w:val="0"/>
          <w:sz w:val="32"/>
          <w:szCs w:val="32"/>
          <w:shd w:val="clear" w:fill="FFFFFF"/>
        </w:rPr>
        <w:t>公开“三公”经费及相关报表6条</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公开</w:t>
      </w:r>
      <w:r>
        <w:rPr>
          <w:rFonts w:hint="eastAsia" w:ascii="仿宋_GB2312" w:hAnsi="仿宋_GB2312" w:eastAsia="仿宋_GB2312" w:cs="仿宋_GB2312"/>
          <w:i w:val="0"/>
          <w:iCs w:val="0"/>
          <w:caps w:val="0"/>
          <w:color w:val="333333"/>
          <w:spacing w:val="0"/>
          <w:sz w:val="32"/>
          <w:szCs w:val="32"/>
          <w:shd w:val="clear" w:fill="FFFFFF"/>
          <w:lang w:val="en-US" w:eastAsia="zh-CN"/>
        </w:rPr>
        <w:t>农村危房改造相关文件和任务分配5条，公开政府采购信息，招标公告和中标结果5条，</w:t>
      </w:r>
      <w:r>
        <w:rPr>
          <w:rFonts w:hint="eastAsia" w:ascii="仿宋_GB2312" w:hAnsi="仿宋_GB2312" w:eastAsia="仿宋_GB2312" w:cs="仿宋_GB2312"/>
          <w:i w:val="0"/>
          <w:iCs w:val="0"/>
          <w:caps w:val="0"/>
          <w:color w:val="333333"/>
          <w:spacing w:val="0"/>
          <w:sz w:val="32"/>
          <w:szCs w:val="32"/>
          <w:shd w:val="clear" w:fill="FFFFFF"/>
        </w:rPr>
        <w:t>努力拓展政务信息公开深度和广度</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规范和加强政务</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信息公开平台建设，积极落实政务信息公开相关工作。</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Times New Roman" w:hAnsi="Times New Roman"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黄花塔拉苏木人民政府</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lang w:val="en-US"/>
        </w:rPr>
      </w:pPr>
      <w:r>
        <w:rPr>
          <w:rFonts w:hint="eastAsia" w:ascii="Times New Roman" w:hAnsi="Times New Roman" w:eastAsia="仿宋_GB2312" w:cs="仿宋_GB2312"/>
          <w:sz w:val="32"/>
          <w:szCs w:val="32"/>
          <w:highlight w:val="none"/>
          <w:lang w:val="en-US" w:eastAsia="zh-CN"/>
        </w:rPr>
        <w:t>2024年1月3日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0B344A-1817-4D26-B43B-40A51F39CA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F1920A6-D666-4505-AAF4-05B4C87F8656}"/>
  </w:font>
  <w:font w:name="方正小标宋简体">
    <w:panose1 w:val="02000000000000000000"/>
    <w:charset w:val="86"/>
    <w:family w:val="auto"/>
    <w:pitch w:val="default"/>
    <w:sig w:usb0="00000001" w:usb1="08000000" w:usb2="00000000" w:usb3="00000000" w:csb0="00040000" w:csb1="00000000"/>
    <w:embedRegular r:id="rId3" w:fontKey="{25658FD4-D681-4D16-A2E2-A0964C208053}"/>
  </w:font>
  <w:font w:name="仿宋_GB2312">
    <w:panose1 w:val="02010609030101010101"/>
    <w:charset w:val="86"/>
    <w:family w:val="auto"/>
    <w:pitch w:val="default"/>
    <w:sig w:usb0="00000001" w:usb1="080E0000" w:usb2="00000000" w:usb3="00000000" w:csb0="00040000" w:csb1="00000000"/>
    <w:embedRegular r:id="rId4" w:fontKey="{DB57BA69-42F4-4453-AB72-3D643C8C4FFC}"/>
  </w:font>
  <w:font w:name="楷体_GB2312">
    <w:panose1 w:val="02010609030101010101"/>
    <w:charset w:val="86"/>
    <w:family w:val="auto"/>
    <w:pitch w:val="default"/>
    <w:sig w:usb0="00000001" w:usb1="080E0000" w:usb2="00000000" w:usb3="00000000" w:csb0="00040000" w:csb1="00000000"/>
    <w:embedRegular r:id="rId5" w:fontKey="{30A8CF7B-361B-483A-89A9-24C1A55A7470}"/>
  </w:font>
  <w:font w:name="楷体">
    <w:panose1 w:val="02010609060101010101"/>
    <w:charset w:val="86"/>
    <w:family w:val="auto"/>
    <w:pitch w:val="default"/>
    <w:sig w:usb0="800002BF" w:usb1="38CF7CFA" w:usb2="00000016" w:usb3="00000000" w:csb0="00040001" w:csb1="00000000"/>
    <w:embedRegular r:id="rId6" w:fontKey="{359BB046-E790-4D68-9B6F-28C9DFE10B3A}"/>
  </w:font>
  <w:font w:name="微软雅黑">
    <w:panose1 w:val="020B0503020204020204"/>
    <w:charset w:val="86"/>
    <w:family w:val="auto"/>
    <w:pitch w:val="default"/>
    <w:sig w:usb0="80000287" w:usb1="2ACF3C50" w:usb2="00000016" w:usb3="00000000" w:csb0="0004001F" w:csb1="00000000"/>
    <w:embedRegular r:id="rId7" w:fontKey="{048AC4B4-86AE-446D-9DAA-A166A38A88F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0125C"/>
    <w:multiLevelType w:val="singleLevel"/>
    <w:tmpl w:val="0FE0125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ZTc2YjJjM2Y0NmM0N2ViMGJjMDUwNDk1MmQ3NDYifQ=="/>
  </w:docVars>
  <w:rsids>
    <w:rsidRoot w:val="396A0E27"/>
    <w:rsid w:val="1F6338EB"/>
    <w:rsid w:val="396A0E27"/>
    <w:rsid w:val="65AE5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240" w:beforeAutospacing="0" w:after="60" w:afterAutospacing="0"/>
      <w:ind w:left="0" w:right="0"/>
      <w:jc w:val="center"/>
      <w:outlineLvl w:val="0"/>
    </w:pPr>
    <w:rPr>
      <w:rFonts w:ascii="Arial" w:hAnsi="Arial" w:eastAsia="宋体" w:cs="Times New Roman"/>
      <w:b/>
      <w:kern w:val="2"/>
      <w:sz w:val="32"/>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2023-12-27T02:39:00Z</dcterms:created>
  <dc:creator>小炸毛</dc:creator>
  <cp:lastModifiedBy>小炸毛</cp:lastModifiedBy>
  <cp:lastPrinted>2023-12-27T06:57:38Z</cp:lastPrinted>
  <dcterms:modified xsi:type="dcterms:W3CDTF">2023-12-27T06:59:44Z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7DA2EDF9F88A4F80BB0EC45E77283154_11</vt:lpwstr>
  </property>
</Properties>
</file>