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华文隶书" w:hAnsi="华文隶书" w:eastAsia="华文隶书" w:cs="华文隶书"/>
          <w:b w:val="0"/>
          <w:bCs/>
          <w:sz w:val="44"/>
          <w:lang w:eastAsia="zh-CN"/>
        </w:rPr>
      </w:pPr>
      <w:bookmarkStart w:id="8" w:name="_GoBack"/>
      <w:r>
        <w:rPr>
          <w:rFonts w:hint="eastAsia" w:ascii="华文隶书" w:hAnsi="华文隶书" w:eastAsia="华文隶书" w:cs="华文隶书"/>
          <w:b w:val="0"/>
          <w:bCs/>
          <w:sz w:val="44"/>
          <w:lang w:val="en-US" w:eastAsia="zh-CN"/>
        </w:rPr>
        <w:t>2023年奈曼</w:t>
      </w:r>
      <w:r>
        <w:rPr>
          <w:rFonts w:hint="eastAsia" w:ascii="华文隶书" w:hAnsi="华文隶书" w:eastAsia="华文隶书" w:cs="华文隶书"/>
          <w:b w:val="0"/>
          <w:bCs/>
          <w:sz w:val="44"/>
          <w:lang w:eastAsia="zh-CN"/>
        </w:rPr>
        <w:t>旗中小学生</w:t>
      </w:r>
      <w:r>
        <w:rPr>
          <w:rFonts w:hint="eastAsia" w:ascii="华文隶书" w:hAnsi="华文隶书" w:eastAsia="华文隶书" w:cs="华文隶书"/>
          <w:b w:val="0"/>
          <w:bCs/>
          <w:sz w:val="44"/>
          <w:lang w:val="en-US" w:eastAsia="zh-CN"/>
        </w:rPr>
        <w:t>营养</w:t>
      </w:r>
      <w:r>
        <w:rPr>
          <w:rFonts w:hint="eastAsia" w:ascii="华文隶书" w:hAnsi="华文隶书" w:eastAsia="华文隶书" w:cs="华文隶书"/>
          <w:b w:val="0"/>
          <w:bCs/>
          <w:sz w:val="44"/>
          <w:lang w:eastAsia="zh-CN"/>
        </w:rPr>
        <w:t>监测</w:t>
      </w:r>
    </w:p>
    <w:p>
      <w:pPr>
        <w:keepNext w:val="0"/>
        <w:keepLines w:val="0"/>
        <w:pageBreakBefore w:val="0"/>
        <w:widowControl w:val="0"/>
        <w:kinsoku/>
        <w:wordWrap/>
        <w:overflowPunct/>
        <w:topLinePunct w:val="0"/>
        <w:autoSpaceDE/>
        <w:autoSpaceDN/>
        <w:bidi w:val="0"/>
        <w:adjustRightInd/>
        <w:snapToGrid/>
        <w:spacing w:line="600" w:lineRule="exact"/>
        <w:ind w:firstLine="3080" w:firstLineChars="700"/>
        <w:jc w:val="both"/>
        <w:textAlignment w:val="auto"/>
        <w:rPr>
          <w:rFonts w:hint="eastAsia" w:ascii="华文隶书" w:hAnsi="华文隶书" w:eastAsia="华文隶书" w:cs="华文隶书"/>
          <w:b w:val="0"/>
          <w:bCs/>
          <w:sz w:val="44"/>
          <w:lang w:eastAsia="zh-CN"/>
        </w:rPr>
      </w:pPr>
      <w:r>
        <w:rPr>
          <w:rFonts w:hint="eastAsia" w:ascii="华文隶书" w:hAnsi="华文隶书" w:eastAsia="华文隶书" w:cs="华文隶书"/>
          <w:b w:val="0"/>
          <w:bCs/>
          <w:sz w:val="44"/>
          <w:lang w:eastAsia="zh-CN"/>
        </w:rPr>
        <w:t>结果分析</w:t>
      </w:r>
    </w:p>
    <w:bookmarkEnd w:id="8"/>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隶书" w:hAnsi="华文隶书" w:eastAsia="华文隶书" w:cs="华文隶书"/>
          <w:b w:val="0"/>
          <w:bCs/>
          <w:sz w:val="44"/>
          <w:lang w:val="en-US" w:eastAsia="zh-CN"/>
        </w:rPr>
      </w:pPr>
    </w:p>
    <w:p>
      <w:pPr>
        <w:keepNext w:val="0"/>
        <w:keepLines w:val="0"/>
        <w:widowControl/>
        <w:numPr>
          <w:ilvl w:val="0"/>
          <w:numId w:val="0"/>
        </w:numPr>
        <w:suppressLineNumbers w:val="0"/>
        <w:ind w:leftChars="0"/>
        <w:jc w:val="left"/>
        <w:rPr>
          <w:rFonts w:hint="default" w:ascii="方正仿宋_GB2312" w:hAnsi="方正仿宋_GB2312" w:eastAsia="方正仿宋_GB2312" w:cs="方正仿宋_GB2312"/>
          <w:b w:val="0"/>
          <w:bCs w:val="0"/>
          <w:kern w:val="2"/>
          <w:sz w:val="32"/>
          <w:szCs w:val="32"/>
          <w:lang w:val="en-US" w:eastAsia="zh-CN" w:bidi="ar"/>
        </w:rPr>
      </w:pPr>
      <w:r>
        <w:rPr>
          <w:rFonts w:hint="eastAsia" w:ascii="仿宋" w:hAnsi="仿宋" w:eastAsia="仿宋" w:cs="仿宋"/>
          <w:b/>
          <w:bCs/>
          <w:sz w:val="32"/>
          <w:szCs w:val="32"/>
          <w:lang w:val="en-US" w:eastAsia="zh-CN"/>
        </w:rPr>
        <w:t>【摘要】目的</w:t>
      </w:r>
      <w:r>
        <w:rPr>
          <w:rFonts w:hint="eastAsia" w:ascii="仿宋" w:hAnsi="仿宋" w:eastAsia="仿宋" w:cs="仿宋"/>
          <w:b w:val="0"/>
          <w:bCs w:val="0"/>
          <w:sz w:val="32"/>
          <w:szCs w:val="32"/>
          <w:lang w:val="en-US" w:eastAsia="zh-CN"/>
        </w:rPr>
        <w:t xml:space="preserve"> 了解我旗中小学生营养状况，为防治工作提供一定科学依据。</w:t>
      </w:r>
      <w:r>
        <w:rPr>
          <w:rFonts w:hint="eastAsia" w:ascii="仿宋" w:hAnsi="仿宋" w:eastAsia="仿宋" w:cs="仿宋"/>
          <w:b/>
          <w:bCs/>
          <w:sz w:val="32"/>
          <w:szCs w:val="32"/>
          <w:lang w:val="en-US" w:eastAsia="zh-CN"/>
        </w:rPr>
        <w:t>方法</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kern w:val="2"/>
          <w:sz w:val="32"/>
          <w:szCs w:val="32"/>
          <w:lang w:val="en-US" w:eastAsia="zh-CN" w:bidi="ar"/>
        </w:rPr>
        <w:t>从“互联网+青少年健康体检</w:t>
      </w:r>
      <w:r>
        <w:rPr>
          <w:rFonts w:hint="eastAsia" w:ascii="方正仿宋_GB2312" w:hAnsi="方正仿宋_GB2312" w:eastAsia="方正仿宋_GB2312" w:cs="方正仿宋_GB2312"/>
          <w:kern w:val="2"/>
          <w:sz w:val="32"/>
          <w:szCs w:val="32"/>
          <w:lang w:val="en-US" w:eastAsia="zh-CN" w:bidi="ar"/>
        </w:rPr>
        <w:t>管理</w:t>
      </w:r>
      <w:r>
        <w:rPr>
          <w:rFonts w:hint="eastAsia" w:ascii="方正仿宋_GB2312" w:hAnsi="方正仿宋_GB2312" w:eastAsia="方正仿宋_GB2312" w:cs="方正仿宋_GB2312"/>
          <w:b w:val="0"/>
          <w:bCs w:val="0"/>
          <w:kern w:val="2"/>
          <w:sz w:val="32"/>
          <w:szCs w:val="32"/>
          <w:lang w:val="en-US" w:eastAsia="zh-CN" w:bidi="ar"/>
        </w:rPr>
        <w:t>平台</w:t>
      </w:r>
      <w:r>
        <w:rPr>
          <w:rFonts w:hint="eastAsia" w:ascii="仿宋_GB2312" w:hAnsi="仿宋_GB2312" w:eastAsia="仿宋_GB2312" w:cs="仿宋_GB2312"/>
          <w:b w:val="0"/>
          <w:bCs w:val="0"/>
          <w:kern w:val="2"/>
          <w:sz w:val="32"/>
          <w:szCs w:val="32"/>
          <w:lang w:val="en-US" w:eastAsia="zh-CN" w:bidi="ar"/>
        </w:rPr>
        <w:t>”数据库中单</w:t>
      </w:r>
      <w:r>
        <w:rPr>
          <w:rFonts w:hint="eastAsia" w:ascii="仿宋_GB2312" w:hAnsi="仿宋_GB2312" w:eastAsia="仿宋_GB2312" w:cs="仿宋_GB2312"/>
          <w:kern w:val="2"/>
          <w:sz w:val="32"/>
          <w:szCs w:val="32"/>
          <w:lang w:val="en-US" w:eastAsia="zh-CN" w:bidi="ar"/>
        </w:rPr>
        <w:t>独提取出</w:t>
      </w:r>
      <w:r>
        <w:rPr>
          <w:rFonts w:hint="eastAsia" w:ascii="方正仿宋_GB2312" w:hAnsi="方正仿宋_GB2312" w:eastAsia="方正仿宋_GB2312" w:cs="方正仿宋_GB2312"/>
          <w:b w:val="0"/>
          <w:bCs w:val="0"/>
          <w:kern w:val="2"/>
          <w:sz w:val="32"/>
          <w:szCs w:val="32"/>
          <w:lang w:val="en-US" w:eastAsia="zh-CN" w:bidi="ar"/>
        </w:rPr>
        <w:t>体质指数</w:t>
      </w:r>
      <w:r>
        <w:rPr>
          <w:rFonts w:hint="eastAsia" w:ascii="仿宋_GB2312" w:hAnsi="仿宋_GB2312" w:eastAsia="仿宋_GB2312" w:cs="仿宋_GB2312"/>
          <w:kern w:val="2"/>
          <w:sz w:val="32"/>
          <w:szCs w:val="32"/>
          <w:lang w:val="en-US" w:eastAsia="zh-CN" w:bidi="ar"/>
        </w:rPr>
        <w:t>（BMI）</w:t>
      </w:r>
      <w:r>
        <w:rPr>
          <w:rFonts w:hint="eastAsia" w:ascii="方正仿宋_GB2312" w:hAnsi="方正仿宋_GB2312" w:eastAsia="方正仿宋_GB2312" w:cs="方正仿宋_GB2312"/>
          <w:b w:val="0"/>
          <w:bCs w:val="0"/>
          <w:kern w:val="2"/>
          <w:sz w:val="32"/>
          <w:szCs w:val="32"/>
          <w:lang w:val="en-US" w:eastAsia="zh-CN" w:bidi="ar"/>
        </w:rPr>
        <w:t>简称体质指数</w:t>
      </w:r>
      <w:r>
        <w:rPr>
          <w:rFonts w:hint="eastAsia" w:ascii="方正仿宋_GB2312" w:hAnsi="方正仿宋_GB2312" w:eastAsia="方正仿宋_GB2312" w:cs="方正仿宋_GB2312"/>
          <w:b w:val="0"/>
          <w:bCs w:val="0"/>
          <w:kern w:val="2"/>
          <w:sz w:val="32"/>
          <w:szCs w:val="32"/>
          <w:vertAlign w:val="superscript"/>
          <w:lang w:val="en-US" w:eastAsia="zh-CN" w:bidi="ar"/>
        </w:rPr>
        <w:fldChar w:fldCharType="begin"/>
      </w:r>
      <w:r>
        <w:rPr>
          <w:rFonts w:hint="eastAsia" w:ascii="方正仿宋_GB2312" w:hAnsi="方正仿宋_GB2312" w:eastAsia="方正仿宋_GB2312" w:cs="方正仿宋_GB2312"/>
          <w:b w:val="0"/>
          <w:bCs w:val="0"/>
          <w:kern w:val="2"/>
          <w:sz w:val="32"/>
          <w:szCs w:val="32"/>
          <w:vertAlign w:val="superscript"/>
          <w:lang w:val="en-US" w:eastAsia="zh-CN" w:bidi="ar"/>
        </w:rPr>
        <w:instrText xml:space="preserve"> REF _Ref27294 \w \h </w:instrText>
      </w:r>
      <w:r>
        <w:rPr>
          <w:rFonts w:hint="eastAsia" w:ascii="方正仿宋_GB2312" w:hAnsi="方正仿宋_GB2312" w:eastAsia="方正仿宋_GB2312" w:cs="方正仿宋_GB2312"/>
          <w:b w:val="0"/>
          <w:bCs w:val="0"/>
          <w:kern w:val="2"/>
          <w:sz w:val="32"/>
          <w:szCs w:val="32"/>
          <w:vertAlign w:val="superscript"/>
          <w:lang w:val="en-US" w:eastAsia="zh-CN" w:bidi="ar"/>
        </w:rPr>
        <w:fldChar w:fldCharType="separate"/>
      </w:r>
      <w:r>
        <w:rPr>
          <w:rFonts w:hint="eastAsia" w:ascii="方正仿宋_GB2312" w:hAnsi="方正仿宋_GB2312" w:eastAsia="方正仿宋_GB2312" w:cs="方正仿宋_GB2312"/>
          <w:b w:val="0"/>
          <w:bCs w:val="0"/>
          <w:kern w:val="2"/>
          <w:sz w:val="32"/>
          <w:szCs w:val="32"/>
          <w:vertAlign w:val="superscript"/>
          <w:lang w:val="en-US" w:eastAsia="zh-CN" w:bidi="ar"/>
        </w:rPr>
        <w:t>[1]</w:t>
      </w:r>
      <w:r>
        <w:rPr>
          <w:rFonts w:hint="eastAsia" w:ascii="方正仿宋_GB2312" w:hAnsi="方正仿宋_GB2312" w:eastAsia="方正仿宋_GB2312" w:cs="方正仿宋_GB2312"/>
          <w:b w:val="0"/>
          <w:bCs w:val="0"/>
          <w:kern w:val="2"/>
          <w:sz w:val="32"/>
          <w:szCs w:val="32"/>
          <w:vertAlign w:val="superscript"/>
          <w:lang w:val="en-US" w:eastAsia="zh-CN" w:bidi="ar"/>
        </w:rPr>
        <w:fldChar w:fldCharType="end"/>
      </w:r>
      <w:r>
        <w:rPr>
          <w:rFonts w:hint="eastAsia" w:ascii="仿宋_GB2312" w:hAnsi="仿宋_GB2312" w:eastAsia="仿宋_GB2312" w:cs="仿宋_GB2312"/>
          <w:kern w:val="2"/>
          <w:sz w:val="32"/>
          <w:szCs w:val="32"/>
          <w:lang w:val="en-US" w:eastAsia="zh-CN" w:bidi="ar"/>
        </w:rPr>
        <w:t>监测信息进行统计分析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kern w:val="2"/>
          <w:sz w:val="32"/>
          <w:szCs w:val="32"/>
          <w:lang w:val="en-US" w:eastAsia="zh-CN" w:bidi="ar"/>
        </w:rPr>
        <w:t xml:space="preserve">结果 </w:t>
      </w:r>
      <w:r>
        <w:rPr>
          <w:rFonts w:hint="eastAsia" w:ascii="仿宋" w:hAnsi="仿宋" w:eastAsia="仿宋" w:cs="仿宋"/>
          <w:b w:val="0"/>
          <w:bCs w:val="0"/>
          <w:kern w:val="2"/>
          <w:sz w:val="32"/>
          <w:szCs w:val="32"/>
          <w:lang w:val="en-US" w:eastAsia="zh-CN" w:bidi="ar"/>
        </w:rPr>
        <w:t>我旗中小学生营养状况正常人数占比61.07%，营养状况女生相对比男生要稍好一些，初中要比高中小学稍好一些，但超重、肥胖占比相对较高。各个年级体质指数平均值都处在正常范围内，且总体呈现出随年级升高</w:t>
      </w:r>
      <w:r>
        <w:rPr>
          <w:rFonts w:hint="eastAsia" w:ascii="仿宋" w:hAnsi="仿宋" w:eastAsia="仿宋" w:cs="仿宋"/>
          <w:kern w:val="2"/>
          <w:sz w:val="32"/>
          <w:szCs w:val="32"/>
          <w:lang w:val="en-US" w:eastAsia="zh-CN" w:bidi="ar"/>
        </w:rPr>
        <w:t>逐步上升的趋势，</w:t>
      </w:r>
      <w:r>
        <w:rPr>
          <w:rFonts w:hint="eastAsia" w:ascii="仿宋" w:hAnsi="仿宋" w:eastAsia="仿宋" w:cs="仿宋"/>
          <w:b w:val="0"/>
          <w:bCs w:val="0"/>
          <w:kern w:val="2"/>
          <w:sz w:val="32"/>
          <w:szCs w:val="32"/>
          <w:lang w:val="en-US" w:eastAsia="zh-CN" w:bidi="ar"/>
        </w:rPr>
        <w:t>城镇男生&gt;乡镇男生&gt;城镇女生&gt;乡镇女生的分布情况，基本符合</w:t>
      </w:r>
      <w:r>
        <w:rPr>
          <w:rFonts w:hint="eastAsia" w:ascii="仿宋" w:hAnsi="仿宋" w:eastAsia="仿宋" w:cs="仿宋"/>
          <w:kern w:val="2"/>
          <w:sz w:val="32"/>
          <w:szCs w:val="32"/>
          <w:lang w:val="en-US" w:eastAsia="zh-CN" w:bidi="ar"/>
        </w:rPr>
        <w:t>学生体质和社会发展规律</w:t>
      </w:r>
      <w:r>
        <w:rPr>
          <w:rFonts w:hint="eastAsia" w:ascii="仿宋" w:hAnsi="仿宋" w:eastAsia="仿宋" w:cs="仿宋"/>
          <w:kern w:val="2"/>
          <w:sz w:val="32"/>
          <w:szCs w:val="32"/>
          <w:vertAlign w:val="superscript"/>
          <w:lang w:val="en-US" w:eastAsia="zh-CN" w:bidi="ar"/>
        </w:rPr>
        <w:fldChar w:fldCharType="begin"/>
      </w:r>
      <w:r>
        <w:rPr>
          <w:rFonts w:hint="eastAsia" w:ascii="仿宋" w:hAnsi="仿宋" w:eastAsia="仿宋" w:cs="仿宋"/>
          <w:kern w:val="2"/>
          <w:sz w:val="32"/>
          <w:szCs w:val="32"/>
          <w:vertAlign w:val="superscript"/>
          <w:lang w:val="en-US" w:eastAsia="zh-CN" w:bidi="ar"/>
        </w:rPr>
        <w:instrText xml:space="preserve"> REF _Ref28068 \w \h </w:instrText>
      </w:r>
      <w:r>
        <w:rPr>
          <w:rFonts w:hint="eastAsia" w:ascii="仿宋" w:hAnsi="仿宋" w:eastAsia="仿宋" w:cs="仿宋"/>
          <w:kern w:val="2"/>
          <w:sz w:val="32"/>
          <w:szCs w:val="32"/>
          <w:vertAlign w:val="superscript"/>
          <w:lang w:val="en-US" w:eastAsia="zh-CN" w:bidi="ar"/>
        </w:rPr>
        <w:fldChar w:fldCharType="separate"/>
      </w:r>
      <w:r>
        <w:rPr>
          <w:rFonts w:hint="eastAsia" w:ascii="仿宋" w:hAnsi="仿宋" w:eastAsia="仿宋" w:cs="仿宋"/>
          <w:kern w:val="2"/>
          <w:sz w:val="32"/>
          <w:szCs w:val="32"/>
          <w:vertAlign w:val="superscript"/>
          <w:lang w:val="en-US" w:eastAsia="zh-CN" w:bidi="ar"/>
        </w:rPr>
        <w:t>[5</w:t>
      </w:r>
      <w:r>
        <w:rPr>
          <w:rFonts w:hint="eastAsia" w:ascii="仿宋" w:hAnsi="仿宋" w:eastAsia="仿宋" w:cs="仿宋"/>
          <w:kern w:val="2"/>
          <w:sz w:val="32"/>
          <w:szCs w:val="32"/>
          <w:vertAlign w:val="superscript"/>
          <w:lang w:val="en-US" w:eastAsia="zh-CN" w:bidi="ar"/>
        </w:rPr>
        <w:fldChar w:fldCharType="end"/>
      </w:r>
      <w:r>
        <w:rPr>
          <w:rFonts w:hint="eastAsia" w:ascii="仿宋" w:hAnsi="仿宋" w:eastAsia="仿宋" w:cs="仿宋"/>
          <w:kern w:val="2"/>
          <w:sz w:val="32"/>
          <w:szCs w:val="32"/>
          <w:vertAlign w:val="superscript"/>
          <w:lang w:val="en-US" w:eastAsia="zh-CN" w:bidi="ar"/>
        </w:rPr>
        <w:t>-</w:t>
      </w:r>
      <w:r>
        <w:rPr>
          <w:rFonts w:hint="eastAsia" w:ascii="仿宋" w:hAnsi="仿宋" w:eastAsia="仿宋" w:cs="仿宋"/>
          <w:kern w:val="2"/>
          <w:sz w:val="32"/>
          <w:szCs w:val="32"/>
          <w:vertAlign w:val="superscript"/>
          <w:lang w:val="en-US" w:eastAsia="zh-CN" w:bidi="ar"/>
        </w:rPr>
        <w:fldChar w:fldCharType="begin"/>
      </w:r>
      <w:r>
        <w:rPr>
          <w:rFonts w:hint="eastAsia" w:ascii="仿宋" w:hAnsi="仿宋" w:eastAsia="仿宋" w:cs="仿宋"/>
          <w:kern w:val="2"/>
          <w:sz w:val="32"/>
          <w:szCs w:val="32"/>
          <w:vertAlign w:val="superscript"/>
          <w:lang w:val="en-US" w:eastAsia="zh-CN" w:bidi="ar"/>
        </w:rPr>
        <w:instrText xml:space="preserve"> REF _Ref28306 \w \h </w:instrText>
      </w:r>
      <w:r>
        <w:rPr>
          <w:rFonts w:hint="eastAsia" w:ascii="仿宋" w:hAnsi="仿宋" w:eastAsia="仿宋" w:cs="仿宋"/>
          <w:kern w:val="2"/>
          <w:sz w:val="32"/>
          <w:szCs w:val="32"/>
          <w:vertAlign w:val="superscript"/>
          <w:lang w:val="en-US" w:eastAsia="zh-CN" w:bidi="ar"/>
        </w:rPr>
        <w:fldChar w:fldCharType="separate"/>
      </w:r>
      <w:r>
        <w:rPr>
          <w:rFonts w:hint="eastAsia" w:ascii="仿宋" w:hAnsi="仿宋" w:eastAsia="仿宋" w:cs="仿宋"/>
          <w:kern w:val="2"/>
          <w:sz w:val="32"/>
          <w:szCs w:val="32"/>
          <w:vertAlign w:val="superscript"/>
          <w:lang w:val="en-US" w:eastAsia="zh-CN" w:bidi="ar"/>
        </w:rPr>
        <w:t>6]</w:t>
      </w:r>
      <w:r>
        <w:rPr>
          <w:rFonts w:hint="eastAsia" w:ascii="仿宋" w:hAnsi="仿宋" w:eastAsia="仿宋" w:cs="仿宋"/>
          <w:kern w:val="2"/>
          <w:sz w:val="32"/>
          <w:szCs w:val="32"/>
          <w:vertAlign w:val="superscript"/>
          <w:lang w:val="en-US" w:eastAsia="zh-CN" w:bidi="ar"/>
        </w:rPr>
        <w:fldChar w:fldCharType="end"/>
      </w:r>
      <w:r>
        <w:rPr>
          <w:rFonts w:hint="eastAsia" w:ascii="仿宋" w:hAnsi="仿宋" w:eastAsia="仿宋" w:cs="仿宋"/>
          <w:b w:val="0"/>
          <w:bCs w:val="0"/>
          <w:kern w:val="2"/>
          <w:sz w:val="32"/>
          <w:szCs w:val="32"/>
          <w:lang w:val="en-US" w:eastAsia="zh-CN" w:bidi="ar"/>
        </w:rPr>
        <w:t>。</w:t>
      </w:r>
      <w:r>
        <w:rPr>
          <w:rFonts w:hint="eastAsia" w:ascii="仿宋" w:hAnsi="仿宋" w:eastAsia="仿宋" w:cs="仿宋"/>
          <w:b/>
          <w:bCs/>
          <w:kern w:val="2"/>
          <w:sz w:val="32"/>
          <w:szCs w:val="32"/>
          <w:lang w:val="en-US" w:eastAsia="zh-CN" w:bidi="ar"/>
        </w:rPr>
        <w:t xml:space="preserve">结论 </w:t>
      </w:r>
      <w:r>
        <w:rPr>
          <w:rFonts w:hint="eastAsia" w:ascii="仿宋" w:hAnsi="仿宋" w:eastAsia="仿宋" w:cs="仿宋"/>
          <w:b w:val="0"/>
          <w:bCs w:val="0"/>
          <w:kern w:val="2"/>
          <w:sz w:val="32"/>
          <w:szCs w:val="32"/>
          <w:lang w:val="en-US" w:eastAsia="zh-CN" w:bidi="ar"/>
        </w:rPr>
        <w:t>要加强营养健</w:t>
      </w:r>
      <w:r>
        <w:rPr>
          <w:rFonts w:hint="default" w:ascii="仿宋" w:hAnsi="仿宋" w:eastAsia="仿宋" w:cs="仿宋"/>
          <w:b w:val="0"/>
          <w:bCs w:val="0"/>
          <w:kern w:val="2"/>
          <w:sz w:val="32"/>
          <w:szCs w:val="32"/>
          <w:lang w:val="en-US" w:eastAsia="zh-CN" w:bidi="ar"/>
        </w:rPr>
        <w:t>康宣传教育和膳食指导</w:t>
      </w:r>
      <w:r>
        <w:rPr>
          <w:rFonts w:hint="eastAsia" w:ascii="仿宋" w:hAnsi="仿宋" w:eastAsia="仿宋" w:cs="仿宋"/>
          <w:b w:val="0"/>
          <w:bCs w:val="0"/>
          <w:kern w:val="2"/>
          <w:sz w:val="32"/>
          <w:szCs w:val="32"/>
          <w:lang w:val="en-US" w:eastAsia="zh-CN" w:bidi="ar"/>
        </w:rPr>
        <w:t>，培养中小学生健康饮食行为和运动习惯，</w:t>
      </w:r>
      <w:r>
        <w:rPr>
          <w:rFonts w:hint="default" w:ascii="仿宋" w:hAnsi="仿宋" w:eastAsia="仿宋" w:cs="仿宋"/>
          <w:b w:val="0"/>
          <w:bCs w:val="0"/>
          <w:kern w:val="2"/>
          <w:sz w:val="32"/>
          <w:szCs w:val="32"/>
          <w:lang w:val="en-US" w:eastAsia="zh-CN" w:bidi="ar"/>
        </w:rPr>
        <w:t>强化家长责任</w:t>
      </w:r>
      <w:r>
        <w:rPr>
          <w:rFonts w:hint="default" w:ascii="仿宋" w:hAnsi="仿宋" w:eastAsia="仿宋" w:cs="仿宋"/>
          <w:b w:val="0"/>
          <w:bCs w:val="0"/>
          <w:kern w:val="2"/>
          <w:sz w:val="32"/>
          <w:szCs w:val="32"/>
          <w:vertAlign w:val="superscript"/>
          <w:lang w:val="en-US" w:eastAsia="zh-CN" w:bidi="ar"/>
        </w:rPr>
        <w:fldChar w:fldCharType="begin"/>
      </w:r>
      <w:r>
        <w:rPr>
          <w:rFonts w:hint="default" w:ascii="仿宋" w:hAnsi="仿宋" w:eastAsia="仿宋" w:cs="仿宋"/>
          <w:b w:val="0"/>
          <w:bCs w:val="0"/>
          <w:kern w:val="2"/>
          <w:sz w:val="32"/>
          <w:szCs w:val="32"/>
          <w:vertAlign w:val="superscript"/>
          <w:lang w:val="en-US" w:eastAsia="zh-CN" w:bidi="ar"/>
        </w:rPr>
        <w:instrText xml:space="preserve"> REF _Ref27748 \w \h </w:instrText>
      </w:r>
      <w:r>
        <w:rPr>
          <w:rFonts w:hint="default" w:ascii="仿宋" w:hAnsi="仿宋" w:eastAsia="仿宋" w:cs="仿宋"/>
          <w:b w:val="0"/>
          <w:bCs w:val="0"/>
          <w:kern w:val="2"/>
          <w:sz w:val="32"/>
          <w:szCs w:val="32"/>
          <w:vertAlign w:val="superscript"/>
          <w:lang w:val="en-US" w:eastAsia="zh-CN" w:bidi="ar"/>
        </w:rPr>
        <w:fldChar w:fldCharType="separate"/>
      </w:r>
      <w:r>
        <w:rPr>
          <w:rFonts w:hint="default" w:ascii="仿宋" w:hAnsi="仿宋" w:eastAsia="仿宋" w:cs="仿宋"/>
          <w:b w:val="0"/>
          <w:bCs w:val="0"/>
          <w:kern w:val="2"/>
          <w:sz w:val="32"/>
          <w:szCs w:val="32"/>
          <w:vertAlign w:val="superscript"/>
          <w:lang w:val="en-US" w:eastAsia="zh-CN" w:bidi="ar"/>
        </w:rPr>
        <w:t>[3]</w:t>
      </w:r>
      <w:r>
        <w:rPr>
          <w:rFonts w:hint="default" w:ascii="仿宋" w:hAnsi="仿宋" w:eastAsia="仿宋" w:cs="仿宋"/>
          <w:b w:val="0"/>
          <w:bCs w:val="0"/>
          <w:kern w:val="2"/>
          <w:sz w:val="32"/>
          <w:szCs w:val="32"/>
          <w:vertAlign w:val="superscript"/>
          <w:lang w:val="en-US" w:eastAsia="zh-CN" w:bidi="ar"/>
        </w:rPr>
        <w:fldChar w:fldCharType="end"/>
      </w:r>
      <w:r>
        <w:rPr>
          <w:rFonts w:hint="eastAsia" w:ascii="仿宋" w:hAnsi="仿宋" w:eastAsia="仿宋" w:cs="仿宋"/>
          <w:b w:val="0"/>
          <w:bCs w:val="0"/>
          <w:kern w:val="2"/>
          <w:sz w:val="32"/>
          <w:szCs w:val="32"/>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1"/>
        <w:rPr>
          <w:rFonts w:hint="eastAsia" w:asciiTheme="majorEastAsia" w:hAnsiTheme="majorEastAsia" w:eastAsiaTheme="majorEastAsia" w:cstheme="majorEastAsia"/>
          <w:b/>
          <w:bCs/>
          <w:kern w:val="2"/>
          <w:sz w:val="36"/>
          <w:szCs w:val="36"/>
          <w:lang w:val="en-US" w:eastAsia="zh-CN" w:bidi="ar"/>
        </w:rPr>
      </w:pPr>
      <w:r>
        <w:rPr>
          <w:rFonts w:hint="eastAsia" w:asciiTheme="majorEastAsia" w:hAnsiTheme="majorEastAsia" w:eastAsiaTheme="majorEastAsia" w:cstheme="majorEastAsia"/>
          <w:b/>
          <w:bCs/>
          <w:kern w:val="2"/>
          <w:sz w:val="36"/>
          <w:szCs w:val="36"/>
          <w:lang w:val="en-US" w:eastAsia="zh-CN" w:bidi="ar"/>
        </w:rPr>
        <w:t>材料与方法</w:t>
      </w:r>
    </w:p>
    <w:p>
      <w:pPr>
        <w:keepNext w:val="0"/>
        <w:keepLines w:val="0"/>
        <w:widowControl/>
        <w:numPr>
          <w:ilvl w:val="0"/>
          <w:numId w:val="0"/>
        </w:numPr>
        <w:suppressLineNumbers w:val="0"/>
        <w:jc w:val="left"/>
        <w:outlineLvl w:val="2"/>
        <w:rPr>
          <w:rFonts w:hint="eastAsia" w:ascii="仿宋" w:hAnsi="仿宋" w:eastAsia="仿宋" w:cs="仿宋"/>
          <w:b/>
          <w:bCs/>
          <w:i w:val="0"/>
          <w:iCs w:val="0"/>
          <w:caps w:val="0"/>
          <w:color w:val="333333"/>
          <w:spacing w:val="0"/>
          <w:sz w:val="32"/>
          <w:szCs w:val="32"/>
          <w:shd w:val="clear" w:color="auto" w:fill="FFFFFF"/>
          <w:lang w:val="en-US" w:eastAsia="zh-CN"/>
        </w:rPr>
      </w:pPr>
      <w:r>
        <w:rPr>
          <w:rFonts w:hint="eastAsia" w:ascii="仿宋" w:hAnsi="仿宋" w:eastAsia="仿宋" w:cs="仿宋"/>
          <w:b/>
          <w:bCs/>
          <w:i w:val="0"/>
          <w:iCs w:val="0"/>
          <w:caps w:val="0"/>
          <w:color w:val="333333"/>
          <w:spacing w:val="0"/>
          <w:sz w:val="32"/>
          <w:szCs w:val="32"/>
          <w:shd w:val="clear" w:color="auto" w:fill="FFFFFF"/>
          <w:lang w:val="en-US" w:eastAsia="zh-CN"/>
        </w:rPr>
        <w:t>1.1数据来源</w:t>
      </w:r>
    </w:p>
    <w:p>
      <w:pPr>
        <w:keepNext w:val="0"/>
        <w:keepLines w:val="0"/>
        <w:widowControl/>
        <w:numPr>
          <w:ilvl w:val="0"/>
          <w:numId w:val="0"/>
        </w:numPr>
        <w:suppressLineNumbers w:val="0"/>
        <w:jc w:val="both"/>
        <w:rPr>
          <w:rFonts w:hint="eastAsia" w:ascii="方正仿宋_GB2312" w:hAnsi="方正仿宋_GB2312" w:eastAsia="方正仿宋_GB2312" w:cs="方正仿宋_GB2312"/>
          <w:b w:val="0"/>
          <w:bCs w:val="0"/>
          <w:kern w:val="2"/>
          <w:sz w:val="32"/>
          <w:szCs w:val="32"/>
          <w:lang w:val="en-US" w:eastAsia="zh-CN" w:bidi="ar"/>
        </w:rPr>
      </w:pPr>
      <w:r>
        <w:rPr>
          <w:rFonts w:hint="eastAsia" w:ascii="仿宋" w:hAnsi="仿宋" w:eastAsia="仿宋" w:cs="仿宋"/>
          <w:b w:val="0"/>
          <w:bCs w:val="0"/>
          <w:i w:val="0"/>
          <w:iCs w:val="0"/>
          <w:caps w:val="0"/>
          <w:color w:val="333333"/>
          <w:spacing w:val="0"/>
          <w:sz w:val="30"/>
          <w:szCs w:val="30"/>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
        </w:rPr>
        <w:t>对奈曼旗23个学区188所中小学校进行体检，共计40921名学生参与进行了健康体检。小学166所、初中18所（包含九年一贯制初中部）、高中4所（包括一所职高）小学生23888人、初中生11179人、高中生5854人，从“互联网+青少年健康体检管理平台”数据库中提取出</w:t>
      </w:r>
      <w:r>
        <w:rPr>
          <w:rFonts w:hint="eastAsia" w:ascii="方正仿宋_GB2312" w:hAnsi="方正仿宋_GB2312" w:eastAsia="方正仿宋_GB2312" w:cs="方正仿宋_GB2312"/>
          <w:b w:val="0"/>
          <w:bCs w:val="0"/>
          <w:kern w:val="2"/>
          <w:sz w:val="32"/>
          <w:szCs w:val="32"/>
          <w:lang w:val="en-US" w:eastAsia="zh-CN" w:bidi="ar"/>
        </w:rPr>
        <w:t>体质指数</w:t>
      </w:r>
      <w:r>
        <w:rPr>
          <w:rFonts w:hint="eastAsia" w:ascii="仿宋_GB2312" w:hAnsi="仿宋_GB2312" w:eastAsia="仿宋_GB2312" w:cs="仿宋_GB2312"/>
          <w:kern w:val="2"/>
          <w:sz w:val="32"/>
          <w:szCs w:val="32"/>
          <w:lang w:val="en-US" w:eastAsia="zh-CN" w:bidi="ar"/>
        </w:rPr>
        <w:t>监测信息</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2"/>
        <w:rPr>
          <w:rFonts w:hint="eastAsia" w:ascii="方正仿宋_GB2312" w:hAnsi="方正仿宋_GB2312" w:eastAsia="方正仿宋_GB2312" w:cs="方正仿宋_GB2312"/>
          <w:b/>
          <w:bCs/>
          <w:kern w:val="2"/>
          <w:sz w:val="32"/>
          <w:szCs w:val="32"/>
          <w:lang w:val="en-US" w:eastAsia="zh-CN" w:bidi="ar"/>
        </w:rPr>
      </w:pPr>
      <w:r>
        <w:rPr>
          <w:rFonts w:hint="eastAsia" w:ascii="方正仿宋_GB2312" w:hAnsi="方正仿宋_GB2312" w:eastAsia="方正仿宋_GB2312" w:cs="方正仿宋_GB2312"/>
          <w:b/>
          <w:bCs/>
          <w:kern w:val="2"/>
          <w:sz w:val="32"/>
          <w:szCs w:val="32"/>
          <w:lang w:val="en-US" w:eastAsia="zh-CN" w:bidi="ar"/>
        </w:rPr>
        <w:t>1.2质量控制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3"/>
        <w:rPr>
          <w:rFonts w:hint="default" w:ascii="方正仿宋_GB2312" w:hAnsi="方正仿宋_GB2312" w:eastAsia="方正仿宋_GB2312" w:cs="方正仿宋_GB2312"/>
          <w:b/>
          <w:bCs/>
          <w:kern w:val="2"/>
          <w:sz w:val="28"/>
          <w:szCs w:val="28"/>
          <w:lang w:val="en-US" w:eastAsia="zh-CN" w:bidi="ar"/>
        </w:rPr>
      </w:pPr>
      <w:r>
        <w:rPr>
          <w:rFonts w:hint="eastAsia" w:ascii="方正仿宋_GB2312" w:hAnsi="方正仿宋_GB2312" w:eastAsia="方正仿宋_GB2312" w:cs="方正仿宋_GB2312"/>
          <w:b/>
          <w:bCs/>
          <w:kern w:val="2"/>
          <w:sz w:val="28"/>
          <w:szCs w:val="28"/>
          <w:lang w:val="en-US" w:eastAsia="zh-CN" w:bidi="ar"/>
        </w:rPr>
        <w:t>1.2.1体检设备</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default" w:ascii="方正仿宋_GB2312" w:hAnsi="方正仿宋_GB2312" w:eastAsia="方正仿宋_GB2312" w:cs="方正仿宋_GB2312"/>
          <w:b w:val="0"/>
          <w:bCs w:val="0"/>
          <w:kern w:val="2"/>
          <w:sz w:val="32"/>
          <w:szCs w:val="32"/>
          <w:lang w:val="en-US" w:eastAsia="zh-CN" w:bidi="ar"/>
        </w:rPr>
      </w:pPr>
      <w:r>
        <w:rPr>
          <w:rFonts w:hint="eastAsia" w:ascii="方正仿宋_GB2312" w:hAnsi="方正仿宋_GB2312" w:eastAsia="方正仿宋_GB2312" w:cs="方正仿宋_GB2312"/>
          <w:b w:val="0"/>
          <w:bCs w:val="0"/>
          <w:kern w:val="2"/>
          <w:sz w:val="32"/>
          <w:szCs w:val="32"/>
          <w:lang w:val="en-US" w:eastAsia="zh-CN" w:bidi="ar"/>
        </w:rPr>
        <w:t>便携带打印体重秤 型号：WS-H300D 生产日期：生产厂家：上海沃申工贸有限公司    WS-H300D型产品参数：测高范围：60cm-200cm，感量：0.1cm称重范围：0kg-200kg，感量：0.5kg自重：22kg</w:t>
      </w:r>
    </w:p>
    <w:p>
      <w:pPr>
        <w:keepNext w:val="0"/>
        <w:keepLines w:val="0"/>
        <w:widowControl/>
        <w:numPr>
          <w:ilvl w:val="0"/>
          <w:numId w:val="0"/>
        </w:numPr>
        <w:suppressLineNumbers w:val="0"/>
        <w:jc w:val="left"/>
        <w:outlineLvl w:val="2"/>
        <w:rPr>
          <w:rFonts w:hint="default" w:ascii="仿宋_GB2312" w:hAnsi="仿宋_GB2312" w:eastAsia="仿宋_GB2312" w:cs="仿宋_GB2312"/>
          <w:b/>
          <w:bCs/>
          <w:kern w:val="2"/>
          <w:sz w:val="32"/>
          <w:szCs w:val="32"/>
          <w:lang w:eastAsia="zh-CN" w:bidi="ar"/>
        </w:rPr>
      </w:pPr>
      <w:r>
        <w:rPr>
          <w:rFonts w:hint="default" w:ascii="仿宋_GB2312" w:hAnsi="仿宋_GB2312" w:eastAsia="仿宋_GB2312" w:cs="仿宋_GB2312"/>
          <w:b/>
          <w:bCs/>
          <w:kern w:val="2"/>
          <w:sz w:val="32"/>
          <w:szCs w:val="32"/>
          <w:lang w:eastAsia="zh-CN" w:bidi="ar"/>
        </w:rPr>
        <w:t>1.3统计方法</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所得数据使用 </w:t>
      </w:r>
      <w:r>
        <w:rPr>
          <w:rFonts w:hint="default" w:ascii="仿宋_GB2312" w:hAnsi="仿宋_GB2312" w:eastAsia="仿宋_GB2312" w:cs="仿宋_GB2312"/>
          <w:kern w:val="2"/>
          <w:sz w:val="32"/>
          <w:szCs w:val="32"/>
          <w:lang w:val="en-US" w:eastAsia="zh-CN" w:bidi="ar"/>
        </w:rPr>
        <w:t xml:space="preserve">SPSS 22.0 </w:t>
      </w:r>
      <w:r>
        <w:rPr>
          <w:rFonts w:hint="eastAsia" w:ascii="仿宋_GB2312" w:hAnsi="仿宋_GB2312" w:eastAsia="仿宋_GB2312" w:cs="仿宋_GB2312"/>
          <w:kern w:val="2"/>
          <w:sz w:val="32"/>
          <w:szCs w:val="32"/>
          <w:lang w:val="en-US" w:eastAsia="zh-CN" w:bidi="ar"/>
        </w:rPr>
        <w:t>软件进行统计分析，描述性分析相关数据后得出结果，图表用WPS Office2023Excel表格进行制作。</w:t>
      </w:r>
    </w:p>
    <w:p>
      <w:pPr>
        <w:keepNext w:val="0"/>
        <w:keepLines w:val="0"/>
        <w:widowControl/>
        <w:numPr>
          <w:ilvl w:val="0"/>
          <w:numId w:val="0"/>
        </w:numPr>
        <w:suppressLineNumbers w:val="0"/>
        <w:jc w:val="left"/>
        <w:outlineLvl w:val="1"/>
        <w:rPr>
          <w:rFonts w:hint="eastAsia" w:asciiTheme="majorEastAsia" w:hAnsiTheme="majorEastAsia" w:eastAsiaTheme="majorEastAsia" w:cstheme="majorEastAsia"/>
          <w:kern w:val="2"/>
          <w:sz w:val="36"/>
          <w:szCs w:val="36"/>
          <w:lang w:val="en-US" w:eastAsia="zh-CN" w:bidi="ar"/>
        </w:rPr>
      </w:pPr>
      <w:r>
        <w:rPr>
          <w:rFonts w:hint="eastAsia" w:asciiTheme="majorEastAsia" w:hAnsiTheme="majorEastAsia" w:eastAsiaTheme="majorEastAsia" w:cstheme="majorEastAsia"/>
          <w:b/>
          <w:bCs/>
          <w:kern w:val="2"/>
          <w:sz w:val="36"/>
          <w:szCs w:val="36"/>
          <w:lang w:val="en-US" w:eastAsia="zh-CN" w:bidi="ar"/>
        </w:rPr>
        <w:t>2、结果与分析</w:t>
      </w:r>
    </w:p>
    <w:p>
      <w:pPr>
        <w:keepNext w:val="0"/>
        <w:keepLines w:val="0"/>
        <w:widowControl/>
        <w:numPr>
          <w:ilvl w:val="0"/>
          <w:numId w:val="0"/>
        </w:numPr>
        <w:suppressLineNumbers w:val="0"/>
        <w:jc w:val="left"/>
        <w:outlineLvl w:val="2"/>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2.1 总体情况</w:t>
      </w:r>
    </w:p>
    <w:p>
      <w:pPr>
        <w:keepNext w:val="0"/>
        <w:keepLines w:val="0"/>
        <w:widowControl/>
        <w:numPr>
          <w:ilvl w:val="0"/>
          <w:numId w:val="0"/>
        </w:numPr>
        <w:suppressLineNumbers w:val="0"/>
        <w:ind w:firstLine="640" w:firstLineChars="200"/>
        <w:jc w:val="left"/>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所体检的40921人中，营养正常24993人占比61.07%，消瘦1320人占比3.23%，超重6507人占比15.9%，肥胖8101人占比19.8%。见图1。</w:t>
      </w:r>
    </w:p>
    <w:p>
      <w:pPr>
        <w:keepNext w:val="0"/>
        <w:keepLines w:val="0"/>
        <w:widowControl/>
        <w:numPr>
          <w:ilvl w:val="0"/>
          <w:numId w:val="0"/>
        </w:numPr>
        <w:suppressLineNumbers w:val="0"/>
        <w:ind w:firstLine="420" w:firstLineChars="200"/>
        <w:jc w:val="left"/>
      </w:pPr>
      <w:r>
        <w:drawing>
          <wp:inline distT="0" distB="0" distL="114300" distR="114300">
            <wp:extent cx="4826000" cy="2736850"/>
            <wp:effectExtent l="4445" t="4445" r="8255" b="20955"/>
            <wp:docPr id="5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widowControl/>
        <w:numPr>
          <w:ilvl w:val="0"/>
          <w:numId w:val="0"/>
        </w:numPr>
        <w:suppressLineNumbers w:val="0"/>
        <w:ind w:firstLine="420" w:firstLineChars="200"/>
        <w:jc w:val="left"/>
        <w:rPr>
          <w:rFonts w:hint="default" w:eastAsia="宋体"/>
          <w:lang w:val="en-US" w:eastAsia="zh-CN"/>
        </w:rPr>
      </w:pPr>
      <w:r>
        <w:rPr>
          <w:rFonts w:hint="eastAsia"/>
          <w:lang w:val="en-US" w:eastAsia="zh-CN"/>
        </w:rPr>
        <w:t xml:space="preserve">                 图1  2023年奈曼旗营养监测数据统计结果</w:t>
      </w:r>
    </w:p>
    <w:p>
      <w:pPr>
        <w:keepNext w:val="0"/>
        <w:keepLines w:val="0"/>
        <w:widowControl/>
        <w:numPr>
          <w:ilvl w:val="0"/>
          <w:numId w:val="0"/>
        </w:numPr>
        <w:suppressLineNumbers w:val="0"/>
        <w:jc w:val="left"/>
        <w:outlineLvl w:val="2"/>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2.2分布</w:t>
      </w:r>
    </w:p>
    <w:p>
      <w:pPr>
        <w:keepNext w:val="0"/>
        <w:keepLines w:val="0"/>
        <w:widowControl/>
        <w:numPr>
          <w:ilvl w:val="0"/>
          <w:numId w:val="0"/>
        </w:numPr>
        <w:suppressLineNumbers w:val="0"/>
        <w:jc w:val="left"/>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2.2.1阶段分布</w:t>
      </w:r>
    </w:p>
    <w:p>
      <w:pPr>
        <w:keepNext w:val="0"/>
        <w:keepLines w:val="0"/>
        <w:widowControl/>
        <w:numPr>
          <w:ilvl w:val="0"/>
          <w:numId w:val="0"/>
        </w:numPr>
        <w:suppressLineNumbers w:val="0"/>
        <w:ind w:firstLine="640" w:firstLineChars="200"/>
        <w:jc w:val="left"/>
        <w:rPr>
          <w:rFonts w:hint="default" w:ascii="仿宋" w:hAnsi="仿宋" w:eastAsia="仿宋" w:cs="仿宋"/>
          <w:kern w:val="2"/>
          <w:sz w:val="32"/>
          <w:szCs w:val="32"/>
          <w:lang w:val="en-US" w:eastAsia="zh-CN" w:bidi="ar"/>
        </w:rPr>
      </w:pPr>
      <w:r>
        <w:rPr>
          <w:rFonts w:hint="eastAsia" w:ascii="仿宋_GB2312" w:hAnsi="仿宋_GB2312" w:eastAsia="仿宋_GB2312" w:cs="仿宋_GB2312"/>
          <w:kern w:val="2"/>
          <w:sz w:val="32"/>
          <w:szCs w:val="32"/>
          <w:lang w:val="en-US" w:eastAsia="zh-CN" w:bidi="ar"/>
        </w:rPr>
        <w:t>所体检的小学生总人数23888人，</w:t>
      </w:r>
      <w:r>
        <w:rPr>
          <w:rFonts w:hint="eastAsia" w:ascii="仿宋_GB2312" w:hAnsi="仿宋_GB2312" w:eastAsia="仿宋_GB2312" w:cs="仿宋_GB2312"/>
          <w:color w:val="333333"/>
          <w:spacing w:val="8"/>
          <w:kern w:val="0"/>
          <w:sz w:val="32"/>
          <w:szCs w:val="32"/>
          <w:shd w:val="clear" w:color="auto" w:fill="FFFFFF"/>
          <w:lang w:val="en-US" w:eastAsia="zh-CN" w:bidi="ar"/>
        </w:rPr>
        <w:t>营养正常人数占比59.7%，消瘦占比3.47%，超重占比14.66%，肥胖占比22.13%。</w:t>
      </w:r>
      <w:r>
        <w:rPr>
          <w:rFonts w:hint="eastAsia" w:ascii="仿宋_GB2312" w:hAnsi="仿宋_GB2312" w:eastAsia="仿宋_GB2312" w:cs="仿宋_GB2312"/>
          <w:kern w:val="2"/>
          <w:sz w:val="32"/>
          <w:szCs w:val="32"/>
          <w:lang w:val="en-US" w:eastAsia="zh-CN" w:bidi="ar"/>
        </w:rPr>
        <w:t>初中生总人数11179人，</w:t>
      </w:r>
      <w:r>
        <w:rPr>
          <w:rFonts w:hint="eastAsia" w:ascii="仿宋_GB2312" w:hAnsi="仿宋_GB2312" w:eastAsia="仿宋_GB2312" w:cs="仿宋_GB2312"/>
          <w:color w:val="333333"/>
          <w:spacing w:val="8"/>
          <w:kern w:val="0"/>
          <w:sz w:val="32"/>
          <w:szCs w:val="32"/>
          <w:shd w:val="clear" w:color="auto" w:fill="FFFFFF"/>
          <w:lang w:val="en-US" w:eastAsia="zh-CN" w:bidi="ar"/>
        </w:rPr>
        <w:t>营养正常人数占比64.8%，消瘦占比2.76%，超重占比16.68%，肥胖占比15.73%。</w:t>
      </w:r>
      <w:r>
        <w:rPr>
          <w:rFonts w:hint="eastAsia" w:ascii="仿宋_GB2312" w:hAnsi="仿宋_GB2312" w:eastAsia="仿宋_GB2312" w:cs="仿宋_GB2312"/>
          <w:kern w:val="2"/>
          <w:sz w:val="32"/>
          <w:szCs w:val="32"/>
          <w:lang w:val="en-US" w:eastAsia="zh-CN" w:bidi="ar"/>
        </w:rPr>
        <w:t>高中生总人数5854人，</w:t>
      </w:r>
      <w:r>
        <w:rPr>
          <w:rFonts w:hint="eastAsia" w:ascii="仿宋_GB2312" w:hAnsi="仿宋_GB2312" w:eastAsia="仿宋_GB2312" w:cs="仿宋_GB2312"/>
          <w:color w:val="333333"/>
          <w:spacing w:val="8"/>
          <w:kern w:val="0"/>
          <w:sz w:val="32"/>
          <w:szCs w:val="32"/>
          <w:shd w:val="clear" w:color="auto" w:fill="FFFFFF"/>
          <w:lang w:val="en-US" w:eastAsia="zh-CN" w:bidi="ar"/>
        </w:rPr>
        <w:t>高中生营养正常人数为59.3%，消瘦占比3.13%，超重占比19.47%，肥胖占比18.04 %。见表1</w:t>
      </w:r>
      <w:r>
        <w:rPr>
          <w:rFonts w:hint="eastAsia" w:ascii="仿宋" w:hAnsi="仿宋" w:eastAsia="仿宋" w:cs="仿宋"/>
          <w:kern w:val="2"/>
          <w:sz w:val="32"/>
          <w:szCs w:val="32"/>
          <w:lang w:val="en-US" w:eastAsia="zh-CN" w:bidi="ar"/>
        </w:rPr>
        <w:t xml:space="preserve">。 </w:t>
      </w:r>
      <w:r>
        <w:rPr>
          <w:rFonts w:hint="eastAsia" w:ascii="仿宋" w:hAnsi="仿宋" w:eastAsia="仿宋" w:cs="仿宋"/>
          <w:kern w:val="2"/>
          <w:sz w:val="32"/>
          <w:szCs w:val="32"/>
          <w:lang w:val="en-US" w:eastAsia="zh-CN" w:bidi="ar"/>
        </w:rPr>
        <w:object>
          <v:shape id="_x0000_i1025" o:spt="75" type="#_x0000_t75" style="height:88.95pt;width:415.2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r>
        <w:rPr>
          <w:rFonts w:hint="eastAsia"/>
          <w:lang w:val="en-US" w:eastAsia="zh-CN"/>
        </w:rPr>
        <w:t xml:space="preserve">     </w:t>
      </w:r>
    </w:p>
    <w:p>
      <w:pPr>
        <w:keepNext w:val="0"/>
        <w:keepLines w:val="0"/>
        <w:widowControl/>
        <w:numPr>
          <w:ilvl w:val="0"/>
          <w:numId w:val="0"/>
        </w:numPr>
        <w:suppressLineNumbers w:val="0"/>
        <w:jc w:val="left"/>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2.2.2年级分布</w:t>
      </w:r>
    </w:p>
    <w:p>
      <w:pPr>
        <w:keepNext w:val="0"/>
        <w:keepLines w:val="0"/>
        <w:widowControl/>
        <w:numPr>
          <w:ilvl w:val="0"/>
          <w:numId w:val="0"/>
        </w:numPr>
        <w:suppressLineNumbers w:val="0"/>
        <w:ind w:firstLine="640" w:firstLineChars="200"/>
        <w:jc w:val="left"/>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所体检的11个年级中，低年级到高年级体质指数平均值总体呈平稳上升趋势。见表2图2。</w:t>
      </w:r>
    </w:p>
    <w:p>
      <w:pPr>
        <w:keepNext w:val="0"/>
        <w:keepLines w:val="0"/>
        <w:widowControl/>
        <w:numPr>
          <w:ilvl w:val="0"/>
          <w:numId w:val="0"/>
        </w:numPr>
        <w:suppressLineNumbers w:val="0"/>
        <w:jc w:val="left"/>
        <w:rPr>
          <w:rFonts w:hint="eastAsia" w:ascii="仿宋" w:hAnsi="仿宋" w:eastAsia="仿宋" w:cs="仿宋"/>
          <w:kern w:val="2"/>
          <w:sz w:val="32"/>
          <w:szCs w:val="32"/>
          <w:lang w:val="en-US" w:eastAsia="zh-CN" w:bidi="ar"/>
        </w:rPr>
      </w:pPr>
      <w:r>
        <w:drawing>
          <wp:inline distT="0" distB="0" distL="114300" distR="114300">
            <wp:extent cx="5271135" cy="955675"/>
            <wp:effectExtent l="0" t="0" r="5715" b="15875"/>
            <wp:docPr id="6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8"/>
                    <pic:cNvPicPr>
                      <a:picLocks noChangeAspect="1"/>
                    </pic:cNvPicPr>
                  </pic:nvPicPr>
                  <pic:blipFill>
                    <a:blip r:embed="rId7"/>
                    <a:stretch>
                      <a:fillRect/>
                    </a:stretch>
                  </pic:blipFill>
                  <pic:spPr>
                    <a:xfrm>
                      <a:off x="0" y="0"/>
                      <a:ext cx="5271135" cy="955675"/>
                    </a:xfrm>
                    <a:prstGeom prst="rect">
                      <a:avLst/>
                    </a:prstGeom>
                    <a:noFill/>
                    <a:ln>
                      <a:noFill/>
                    </a:ln>
                  </pic:spPr>
                </pic:pic>
              </a:graphicData>
            </a:graphic>
          </wp:inline>
        </w:drawing>
      </w:r>
    </w:p>
    <w:p>
      <w:pPr>
        <w:keepNext w:val="0"/>
        <w:keepLines w:val="0"/>
        <w:widowControl/>
        <w:numPr>
          <w:ilvl w:val="0"/>
          <w:numId w:val="0"/>
        </w:numPr>
        <w:suppressLineNumbers w:val="0"/>
        <w:jc w:val="left"/>
      </w:pPr>
      <w:r>
        <w:drawing>
          <wp:inline distT="0" distB="0" distL="114300" distR="114300">
            <wp:extent cx="5269865" cy="3002915"/>
            <wp:effectExtent l="0" t="0" r="6985" b="6985"/>
            <wp:docPr id="6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7"/>
                    <pic:cNvPicPr>
                      <a:picLocks noChangeAspect="1"/>
                    </pic:cNvPicPr>
                  </pic:nvPicPr>
                  <pic:blipFill>
                    <a:blip r:embed="rId8"/>
                    <a:stretch>
                      <a:fillRect/>
                    </a:stretch>
                  </pic:blipFill>
                  <pic:spPr>
                    <a:xfrm>
                      <a:off x="0" y="0"/>
                      <a:ext cx="5269865" cy="3002915"/>
                    </a:xfrm>
                    <a:prstGeom prst="rect">
                      <a:avLst/>
                    </a:prstGeom>
                    <a:noFill/>
                    <a:ln>
                      <a:noFill/>
                    </a:ln>
                  </pic:spPr>
                </pic:pic>
              </a:graphicData>
            </a:graphic>
          </wp:inline>
        </w:drawing>
      </w:r>
    </w:p>
    <w:p>
      <w:pPr>
        <w:keepNext w:val="0"/>
        <w:keepLines w:val="0"/>
        <w:widowControl/>
        <w:numPr>
          <w:ilvl w:val="0"/>
          <w:numId w:val="0"/>
        </w:numPr>
        <w:suppressLineNumbers w:val="0"/>
        <w:ind w:firstLine="1680" w:firstLineChars="800"/>
        <w:jc w:val="left"/>
        <w:rPr>
          <w:rFonts w:hint="eastAsia"/>
          <w:lang w:val="en-US" w:eastAsia="zh-CN"/>
        </w:rPr>
      </w:pPr>
      <w:r>
        <w:rPr>
          <w:rFonts w:hint="eastAsia"/>
          <w:lang w:val="en-US" w:eastAsia="zh-CN"/>
        </w:rPr>
        <w:t xml:space="preserve"> 图2 各年级体质指数（平均值）监测数据统计结果</w:t>
      </w:r>
    </w:p>
    <w:p>
      <w:pPr>
        <w:keepNext w:val="0"/>
        <w:keepLines w:val="0"/>
        <w:widowControl/>
        <w:numPr>
          <w:ilvl w:val="0"/>
          <w:numId w:val="0"/>
        </w:numPr>
        <w:suppressLineNumbers w:val="0"/>
        <w:jc w:val="left"/>
        <w:rPr>
          <w:rFonts w:hint="eastAsia" w:ascii="仿宋" w:hAnsi="仿宋" w:eastAsia="仿宋" w:cs="仿宋"/>
          <w:kern w:val="2"/>
          <w:sz w:val="32"/>
          <w:szCs w:val="32"/>
          <w:lang w:val="en-US" w:eastAsia="zh-CN" w:bidi="ar"/>
        </w:rPr>
      </w:pPr>
    </w:p>
    <w:p>
      <w:pPr>
        <w:keepNext w:val="0"/>
        <w:keepLines w:val="0"/>
        <w:widowControl/>
        <w:numPr>
          <w:ilvl w:val="0"/>
          <w:numId w:val="0"/>
        </w:numPr>
        <w:suppressLineNumbers w:val="0"/>
        <w:jc w:val="left"/>
        <w:rPr>
          <w:rFonts w:hint="eastAsia" w:ascii="仿宋" w:hAnsi="仿宋" w:eastAsia="仿宋" w:cs="仿宋"/>
          <w:kern w:val="2"/>
          <w:sz w:val="32"/>
          <w:szCs w:val="32"/>
          <w:lang w:val="en-US" w:eastAsia="zh-CN" w:bidi="ar"/>
        </w:rPr>
      </w:pPr>
    </w:p>
    <w:p>
      <w:pPr>
        <w:keepNext w:val="0"/>
        <w:keepLines w:val="0"/>
        <w:widowControl/>
        <w:numPr>
          <w:ilvl w:val="0"/>
          <w:numId w:val="0"/>
        </w:numPr>
        <w:suppressLineNumbers w:val="0"/>
        <w:jc w:val="left"/>
        <w:outlineLvl w:val="3"/>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2.2.3地区分布</w:t>
      </w:r>
    </w:p>
    <w:p>
      <w:pPr>
        <w:keepNext w:val="0"/>
        <w:keepLines w:val="0"/>
        <w:widowControl/>
        <w:numPr>
          <w:ilvl w:val="0"/>
          <w:numId w:val="0"/>
        </w:numPr>
        <w:suppressLineNumbers w:val="0"/>
        <w:ind w:firstLine="640" w:firstLineChars="200"/>
        <w:jc w:val="left"/>
        <w:outlineLvl w:val="3"/>
        <w:rPr>
          <w:rFonts w:hint="default" w:ascii="仿宋" w:hAnsi="仿宋" w:eastAsia="仿宋" w:cs="仿宋"/>
          <w:b/>
          <w:bCs/>
          <w:kern w:val="2"/>
          <w:sz w:val="28"/>
          <w:szCs w:val="28"/>
          <w:lang w:val="en-US" w:eastAsia="zh-CN" w:bidi="ar"/>
        </w:rPr>
      </w:pPr>
      <w:r>
        <w:rPr>
          <w:rFonts w:hint="eastAsia" w:ascii="仿宋" w:hAnsi="仿宋" w:eastAsia="仿宋" w:cs="仿宋"/>
          <w:kern w:val="2"/>
          <w:sz w:val="32"/>
          <w:szCs w:val="32"/>
          <w:lang w:val="en-US" w:eastAsia="zh-CN" w:bidi="ar"/>
        </w:rPr>
        <w:t>所体检的乡镇就读</w:t>
      </w:r>
      <w:r>
        <w:rPr>
          <w:rFonts w:hint="eastAsia" w:ascii="仿宋_GB2312" w:hAnsi="仿宋_GB2312" w:eastAsia="仿宋_GB2312" w:cs="仿宋_GB2312"/>
          <w:kern w:val="2"/>
          <w:sz w:val="32"/>
          <w:szCs w:val="32"/>
          <w:lang w:val="en-US" w:eastAsia="zh-CN" w:bidi="ar"/>
        </w:rPr>
        <w:t>23639人城镇就读17282人中，从三年级开始，城镇各年级的体质指数平均值明显大于乡镇各年级的体质指数平均值并一直保持此趋势，城镇不同性别体质指数平均值均大于乡镇不同性别体质指数平均值并一直保持此趋势。见表3图3。</w:t>
      </w:r>
    </w:p>
    <w:p>
      <w:pPr>
        <w:keepNext w:val="0"/>
        <w:keepLines w:val="0"/>
        <w:widowControl/>
        <w:numPr>
          <w:ilvl w:val="0"/>
          <w:numId w:val="0"/>
        </w:numPr>
        <w:suppressLineNumbers w:val="0"/>
        <w:jc w:val="left"/>
      </w:pPr>
      <w:r>
        <w:drawing>
          <wp:inline distT="0" distB="0" distL="114300" distR="114300">
            <wp:extent cx="5272405" cy="1256030"/>
            <wp:effectExtent l="0" t="0" r="4445" b="1270"/>
            <wp:docPr id="6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9"/>
                    <pic:cNvPicPr>
                      <a:picLocks noChangeAspect="1"/>
                    </pic:cNvPicPr>
                  </pic:nvPicPr>
                  <pic:blipFill>
                    <a:blip r:embed="rId9"/>
                    <a:stretch>
                      <a:fillRect/>
                    </a:stretch>
                  </pic:blipFill>
                  <pic:spPr>
                    <a:xfrm>
                      <a:off x="0" y="0"/>
                      <a:ext cx="5272405" cy="1256030"/>
                    </a:xfrm>
                    <a:prstGeom prst="rect">
                      <a:avLst/>
                    </a:prstGeom>
                    <a:noFill/>
                    <a:ln>
                      <a:noFill/>
                    </a:ln>
                  </pic:spPr>
                </pic:pic>
              </a:graphicData>
            </a:graphic>
          </wp:inline>
        </w:drawing>
      </w:r>
    </w:p>
    <w:p>
      <w:pPr>
        <w:keepNext w:val="0"/>
        <w:keepLines w:val="0"/>
        <w:widowControl/>
        <w:numPr>
          <w:ilvl w:val="0"/>
          <w:numId w:val="0"/>
        </w:numPr>
        <w:suppressLineNumbers w:val="0"/>
        <w:jc w:val="left"/>
        <w:rPr>
          <w:rFonts w:hint="eastAsia"/>
          <w:lang w:val="en-US" w:eastAsia="zh-CN"/>
        </w:rPr>
      </w:pPr>
      <w:r>
        <w:drawing>
          <wp:inline distT="0" distB="0" distL="114300" distR="114300">
            <wp:extent cx="5271770" cy="2600325"/>
            <wp:effectExtent l="0" t="0" r="5080" b="9525"/>
            <wp:docPr id="6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0"/>
                    <pic:cNvPicPr>
                      <a:picLocks noChangeAspect="1"/>
                    </pic:cNvPicPr>
                  </pic:nvPicPr>
                  <pic:blipFill>
                    <a:blip r:embed="rId10"/>
                    <a:stretch>
                      <a:fillRect/>
                    </a:stretch>
                  </pic:blipFill>
                  <pic:spPr>
                    <a:xfrm>
                      <a:off x="0" y="0"/>
                      <a:ext cx="5271770" cy="2600325"/>
                    </a:xfrm>
                    <a:prstGeom prst="rect">
                      <a:avLst/>
                    </a:prstGeom>
                    <a:noFill/>
                    <a:ln>
                      <a:noFill/>
                    </a:ln>
                  </pic:spPr>
                </pic:pic>
              </a:graphicData>
            </a:graphic>
          </wp:inline>
        </w:drawing>
      </w:r>
    </w:p>
    <w:p>
      <w:pPr>
        <w:keepNext w:val="0"/>
        <w:keepLines w:val="0"/>
        <w:widowControl/>
        <w:numPr>
          <w:ilvl w:val="0"/>
          <w:numId w:val="0"/>
        </w:numPr>
        <w:suppressLineNumbers w:val="0"/>
        <w:ind w:firstLine="2100" w:firstLineChars="1000"/>
        <w:jc w:val="left"/>
        <w:rPr>
          <w:rFonts w:hint="eastAsia" w:ascii="仿宋" w:hAnsi="仿宋" w:eastAsia="仿宋" w:cs="仿宋"/>
          <w:kern w:val="2"/>
          <w:sz w:val="32"/>
          <w:szCs w:val="32"/>
          <w:lang w:val="en-US" w:eastAsia="zh-CN" w:bidi="ar"/>
        </w:rPr>
      </w:pPr>
      <w:r>
        <w:rPr>
          <w:rFonts w:hint="eastAsia"/>
          <w:lang w:val="en-US" w:eastAsia="zh-CN"/>
        </w:rPr>
        <w:t xml:space="preserve"> 图3 不同地区体质指数（平均值）监测数据统计结果</w:t>
      </w:r>
    </w:p>
    <w:p>
      <w:pPr>
        <w:keepNext w:val="0"/>
        <w:keepLines w:val="0"/>
        <w:widowControl/>
        <w:numPr>
          <w:ilvl w:val="0"/>
          <w:numId w:val="0"/>
        </w:numPr>
        <w:suppressLineNumbers w:val="0"/>
        <w:jc w:val="left"/>
        <w:outlineLvl w:val="3"/>
        <w:rPr>
          <w:rFonts w:hint="eastAsia"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2.2.3性别分布</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所体检的男生共21417人，男生营养正常11947人占比55.78%，消瘦843人占比3.94%，超重3630人占比16.95%，肥胖4997人占比23.33%。所体检的女生共19504人，正常人数13046人占比66.89%，消瘦843人占比2.45%，超重2877人占比14.75%，肥胖3104人占比15.91%。见表4。          </w:t>
      </w:r>
      <w:r>
        <w:rPr>
          <w:rFonts w:hint="eastAsia" w:ascii="仿宋_GB2312" w:hAnsi="仿宋_GB2312" w:eastAsia="仿宋_GB2312" w:cs="仿宋_GB2312"/>
          <w:kern w:val="2"/>
          <w:sz w:val="32"/>
          <w:szCs w:val="32"/>
          <w:lang w:val="en-US" w:eastAsia="zh-CN" w:bidi="ar"/>
        </w:rPr>
        <w:object>
          <v:shape id="_x0000_i1026" o:spt="75" type="#_x0000_t75" style="height:94.5pt;width:289.5pt;" o:ole="t" filled="f" o:preferrelative="t" stroked="f" coordsize="21600,21600">
            <v:path/>
            <v:fill on="f" focussize="0,0"/>
            <v:stroke on="f"/>
            <v:imagedata r:id="rId12" o:title=""/>
            <o:lock v:ext="edit" aspectratio="f"/>
            <w10:wrap type="none"/>
            <w10:anchorlock/>
          </v:shape>
          <o:OLEObject Type="Embed" ProgID="Excel.Sheet.12" ShapeID="_x0000_i1026" DrawAspect="Content" ObjectID="_1468075726" r:id="rId11">
            <o:LockedField>false</o:LockedField>
          </o:OLEObject>
        </w:object>
      </w:r>
    </w:p>
    <w:p>
      <w:pPr>
        <w:keepNext w:val="0"/>
        <w:keepLines w:val="0"/>
        <w:widowControl/>
        <w:numPr>
          <w:ilvl w:val="0"/>
          <w:numId w:val="0"/>
        </w:numPr>
        <w:suppressLineNumbers w:val="0"/>
        <w:jc w:val="left"/>
        <w:outlineLvl w:val="4"/>
        <w:rPr>
          <w:rFonts w:hint="default"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2.2.2.1各阶段性别分布见表5</w:t>
      </w:r>
    </w:p>
    <w:p>
      <w:pPr>
        <w:keepNext w:val="0"/>
        <w:keepLines w:val="0"/>
        <w:widowControl/>
        <w:numPr>
          <w:ilvl w:val="0"/>
          <w:numId w:val="0"/>
        </w:numPr>
        <w:suppressLineNumbers w:val="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object>
          <v:shape id="_x0000_i1027" o:spt="75" type="#_x0000_t75" style="height:105.8pt;width:415.25pt;" o:ole="t" filled="f" o:preferrelative="t" stroked="f" coordsize="21600,21600">
            <v:path/>
            <v:fill on="f" focussize="0,0"/>
            <v:stroke on="f"/>
            <v:imagedata r:id="rId14" o:title=""/>
            <o:lock v:ext="edit" aspectratio="f"/>
            <w10:wrap type="none"/>
            <w10:anchorlock/>
          </v:shape>
          <o:OLEObject Type="Embed" ProgID="Excel.Sheet.12" ShapeID="_x0000_i1027" DrawAspect="Content" ObjectID="_1468075727" r:id="rId13">
            <o:LockedField>false</o:LockedField>
          </o:OLEObject>
        </w:object>
      </w:r>
    </w:p>
    <w:p>
      <w:pPr>
        <w:keepNext w:val="0"/>
        <w:keepLines w:val="0"/>
        <w:widowControl/>
        <w:numPr>
          <w:ilvl w:val="0"/>
          <w:numId w:val="0"/>
        </w:numPr>
        <w:suppressLineNumbers w:val="0"/>
        <w:ind w:leftChars="0"/>
        <w:jc w:val="left"/>
        <w:rPr>
          <w:rFonts w:hint="eastAsia" w:asciiTheme="majorEastAsia" w:hAnsiTheme="majorEastAsia" w:eastAsiaTheme="majorEastAsia" w:cstheme="majorEastAsia"/>
          <w:b/>
          <w:bCs/>
          <w:kern w:val="2"/>
          <w:sz w:val="36"/>
          <w:szCs w:val="36"/>
          <w:lang w:val="en-US" w:eastAsia="zh-CN" w:bidi="ar"/>
        </w:rPr>
      </w:pPr>
      <w:r>
        <w:rPr>
          <w:rFonts w:hint="eastAsia" w:asciiTheme="majorEastAsia" w:hAnsiTheme="majorEastAsia" w:eastAsiaTheme="majorEastAsia" w:cstheme="majorEastAsia"/>
          <w:b/>
          <w:bCs/>
          <w:kern w:val="2"/>
          <w:sz w:val="36"/>
          <w:szCs w:val="36"/>
          <w:lang w:val="en-US" w:eastAsia="zh-CN" w:bidi="ar"/>
        </w:rPr>
        <w:t>3、讨论</w:t>
      </w:r>
    </w:p>
    <w:p>
      <w:pPr>
        <w:keepNext w:val="0"/>
        <w:keepLines w:val="0"/>
        <w:widowControl/>
        <w:numPr>
          <w:ilvl w:val="0"/>
          <w:numId w:val="0"/>
        </w:numPr>
        <w:suppressLineNumbers w:val="0"/>
        <w:ind w:leftChars="0" w:firstLine="640" w:firstLineChars="200"/>
        <w:jc w:val="left"/>
        <w:rPr>
          <w:rFonts w:hint="default" w:ascii="仿宋" w:hAnsi="仿宋" w:eastAsia="仿宋" w:cs="仿宋"/>
          <w:b w:val="0"/>
          <w:bCs w:val="0"/>
          <w:kern w:val="2"/>
          <w:sz w:val="32"/>
          <w:szCs w:val="32"/>
          <w:lang w:val="en-US" w:eastAsia="zh-CN" w:bidi="ar"/>
        </w:rPr>
      </w:pPr>
      <w:r>
        <w:rPr>
          <w:rFonts w:hint="eastAsia" w:ascii="仿宋" w:hAnsi="仿宋" w:eastAsia="仿宋" w:cs="仿宋"/>
          <w:b w:val="0"/>
          <w:bCs w:val="0"/>
          <w:kern w:val="2"/>
          <w:sz w:val="32"/>
          <w:szCs w:val="32"/>
          <w:lang w:val="en-US" w:eastAsia="zh-CN" w:bidi="ar"/>
        </w:rPr>
        <w:t>从总体情况看，我旗中小学生营养状况正常人数占比较多，但结合中国居民营养与慢性病状况报告(2020年)</w:t>
      </w:r>
      <w:r>
        <w:rPr>
          <w:rFonts w:hint="eastAsia" w:ascii="仿宋" w:hAnsi="仿宋" w:eastAsia="仿宋" w:cs="仿宋"/>
          <w:b w:val="0"/>
          <w:bCs w:val="0"/>
          <w:kern w:val="2"/>
          <w:sz w:val="32"/>
          <w:szCs w:val="32"/>
          <w:vertAlign w:val="superscript"/>
          <w:lang w:val="en-US" w:eastAsia="zh-CN" w:bidi="ar"/>
        </w:rPr>
        <w:fldChar w:fldCharType="begin"/>
      </w:r>
      <w:r>
        <w:rPr>
          <w:rFonts w:hint="eastAsia" w:ascii="仿宋" w:hAnsi="仿宋" w:eastAsia="仿宋" w:cs="仿宋"/>
          <w:b w:val="0"/>
          <w:bCs w:val="0"/>
          <w:kern w:val="2"/>
          <w:sz w:val="32"/>
          <w:szCs w:val="32"/>
          <w:vertAlign w:val="superscript"/>
          <w:lang w:val="en-US" w:eastAsia="zh-CN" w:bidi="ar"/>
        </w:rPr>
        <w:instrText xml:space="preserve"> REF _Ref27973 \w \h </w:instrText>
      </w:r>
      <w:r>
        <w:rPr>
          <w:rFonts w:hint="eastAsia" w:ascii="仿宋" w:hAnsi="仿宋" w:eastAsia="仿宋" w:cs="仿宋"/>
          <w:b w:val="0"/>
          <w:bCs w:val="0"/>
          <w:kern w:val="2"/>
          <w:sz w:val="32"/>
          <w:szCs w:val="32"/>
          <w:vertAlign w:val="superscript"/>
          <w:lang w:val="en-US" w:eastAsia="zh-CN" w:bidi="ar"/>
        </w:rPr>
        <w:fldChar w:fldCharType="separate"/>
      </w:r>
      <w:r>
        <w:rPr>
          <w:rFonts w:hint="eastAsia" w:ascii="仿宋" w:hAnsi="仿宋" w:eastAsia="仿宋" w:cs="仿宋"/>
          <w:b w:val="0"/>
          <w:bCs w:val="0"/>
          <w:kern w:val="2"/>
          <w:sz w:val="32"/>
          <w:szCs w:val="32"/>
          <w:vertAlign w:val="superscript"/>
          <w:lang w:val="en-US" w:eastAsia="zh-CN" w:bidi="ar"/>
        </w:rPr>
        <w:t>[4]</w:t>
      </w:r>
      <w:r>
        <w:rPr>
          <w:rFonts w:hint="eastAsia" w:ascii="仿宋" w:hAnsi="仿宋" w:eastAsia="仿宋" w:cs="仿宋"/>
          <w:b w:val="0"/>
          <w:bCs w:val="0"/>
          <w:kern w:val="2"/>
          <w:sz w:val="32"/>
          <w:szCs w:val="32"/>
          <w:vertAlign w:val="superscript"/>
          <w:lang w:val="en-US" w:eastAsia="zh-CN" w:bidi="ar"/>
        </w:rPr>
        <w:fldChar w:fldCharType="end"/>
      </w:r>
      <w:r>
        <w:rPr>
          <w:rFonts w:hint="eastAsia" w:ascii="仿宋" w:hAnsi="仿宋" w:eastAsia="仿宋" w:cs="仿宋"/>
          <w:b w:val="0"/>
          <w:bCs w:val="0"/>
          <w:kern w:val="2"/>
          <w:sz w:val="32"/>
          <w:szCs w:val="32"/>
          <w:lang w:val="en-US" w:eastAsia="zh-CN" w:bidi="ar"/>
        </w:rPr>
        <w:t>给出的6-17岁儿童青少年超重肥胖率19%来看，我旗中小学生15.9%和19.8%的超重、肥胖率相对较高。</w:t>
      </w:r>
    </w:p>
    <w:p>
      <w:pPr>
        <w:keepNext w:val="0"/>
        <w:keepLines w:val="0"/>
        <w:widowControl/>
        <w:numPr>
          <w:ilvl w:val="0"/>
          <w:numId w:val="0"/>
        </w:numPr>
        <w:suppressLineNumbers w:val="0"/>
        <w:ind w:firstLine="640" w:firstLineChars="200"/>
        <w:jc w:val="left"/>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从阶段分布看，三个阶段中超重率高中占比相对较高，肥胖率小学占比相对较高，正常和消瘦三阶段占比相对超重、肥胖差异较小。</w:t>
      </w:r>
    </w:p>
    <w:p>
      <w:pPr>
        <w:keepNext w:val="0"/>
        <w:keepLines w:val="0"/>
        <w:widowControl/>
        <w:suppressLineNumbers w:val="0"/>
        <w:ind w:firstLine="640" w:firstLineChars="200"/>
        <w:jc w:val="left"/>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从年级分布看，低年级到高年级体质指数平均值总体呈平稳上升趋势，符合学生体质的发展规律，相关研究以验证</w:t>
      </w:r>
      <w:r>
        <w:rPr>
          <w:rFonts w:hint="eastAsia" w:ascii="仿宋" w:hAnsi="仿宋" w:eastAsia="仿宋" w:cs="仿宋"/>
          <w:kern w:val="2"/>
          <w:sz w:val="32"/>
          <w:szCs w:val="32"/>
          <w:vertAlign w:val="superscript"/>
          <w:lang w:val="en-US" w:eastAsia="zh-CN" w:bidi="ar"/>
        </w:rPr>
        <w:fldChar w:fldCharType="begin"/>
      </w:r>
      <w:r>
        <w:rPr>
          <w:rFonts w:hint="eastAsia" w:ascii="仿宋" w:hAnsi="仿宋" w:eastAsia="仿宋" w:cs="仿宋"/>
          <w:kern w:val="2"/>
          <w:sz w:val="32"/>
          <w:szCs w:val="32"/>
          <w:vertAlign w:val="superscript"/>
          <w:lang w:val="en-US" w:eastAsia="zh-CN" w:bidi="ar"/>
        </w:rPr>
        <w:instrText xml:space="preserve"> REF _Ref28068 \w \h </w:instrText>
      </w:r>
      <w:r>
        <w:rPr>
          <w:rFonts w:hint="eastAsia" w:ascii="仿宋" w:hAnsi="仿宋" w:eastAsia="仿宋" w:cs="仿宋"/>
          <w:kern w:val="2"/>
          <w:sz w:val="32"/>
          <w:szCs w:val="32"/>
          <w:vertAlign w:val="superscript"/>
          <w:lang w:val="en-US" w:eastAsia="zh-CN" w:bidi="ar"/>
        </w:rPr>
        <w:fldChar w:fldCharType="separate"/>
      </w:r>
      <w:r>
        <w:rPr>
          <w:rFonts w:hint="eastAsia" w:ascii="仿宋" w:hAnsi="仿宋" w:eastAsia="仿宋" w:cs="仿宋"/>
          <w:kern w:val="2"/>
          <w:sz w:val="32"/>
          <w:szCs w:val="32"/>
          <w:vertAlign w:val="superscript"/>
          <w:lang w:val="en-US" w:eastAsia="zh-CN" w:bidi="ar"/>
        </w:rPr>
        <w:t>[5]</w:t>
      </w:r>
      <w:r>
        <w:rPr>
          <w:rFonts w:hint="eastAsia" w:ascii="仿宋" w:hAnsi="仿宋" w:eastAsia="仿宋" w:cs="仿宋"/>
          <w:kern w:val="2"/>
          <w:sz w:val="32"/>
          <w:szCs w:val="32"/>
          <w:vertAlign w:val="superscript"/>
          <w:lang w:val="en-US" w:eastAsia="zh-CN" w:bidi="ar"/>
        </w:rPr>
        <w:fldChar w:fldCharType="end"/>
      </w:r>
      <w:r>
        <w:rPr>
          <w:rFonts w:hint="eastAsia" w:ascii="仿宋" w:hAnsi="仿宋" w:eastAsia="仿宋" w:cs="仿宋"/>
          <w:kern w:val="2"/>
          <w:sz w:val="32"/>
          <w:szCs w:val="32"/>
          <w:lang w:val="en-US" w:eastAsia="zh-CN" w:bidi="ar"/>
        </w:rPr>
        <w:t>。</w:t>
      </w:r>
    </w:p>
    <w:p>
      <w:pPr>
        <w:keepNext w:val="0"/>
        <w:keepLines w:val="0"/>
        <w:widowControl/>
        <w:numPr>
          <w:ilvl w:val="0"/>
          <w:numId w:val="0"/>
        </w:numPr>
        <w:suppressLineNumbers w:val="0"/>
        <w:ind w:firstLine="640" w:firstLineChars="200"/>
        <w:jc w:val="left"/>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从地区分布看，</w:t>
      </w:r>
      <w:r>
        <w:rPr>
          <w:rFonts w:hint="eastAsia" w:ascii="仿宋_GB2312" w:hAnsi="仿宋_GB2312" w:eastAsia="仿宋_GB2312" w:cs="仿宋_GB2312"/>
          <w:kern w:val="2"/>
          <w:sz w:val="32"/>
          <w:szCs w:val="32"/>
          <w:lang w:val="en-US" w:eastAsia="zh-CN" w:bidi="ar"/>
        </w:rPr>
        <w:t>从三年级开始，城镇各年级体质指数平均值明显大于乡镇体质指数平均值并一直保持，城镇不同性别体质指数平均值均大于乡镇不同性别体质指数平均值并一直保持，</w:t>
      </w:r>
      <w:r>
        <w:rPr>
          <w:rFonts w:hint="eastAsia" w:ascii="仿宋" w:hAnsi="仿宋" w:eastAsia="仿宋" w:cs="仿宋"/>
          <w:kern w:val="2"/>
          <w:sz w:val="32"/>
          <w:szCs w:val="32"/>
          <w:lang w:val="en-US" w:eastAsia="zh-CN" w:bidi="ar"/>
        </w:rPr>
        <w:t>符合社会发展规律，相关研究以验证</w:t>
      </w:r>
      <w:r>
        <w:rPr>
          <w:rFonts w:hint="eastAsia" w:ascii="仿宋" w:hAnsi="仿宋" w:eastAsia="仿宋" w:cs="仿宋"/>
          <w:kern w:val="2"/>
          <w:sz w:val="32"/>
          <w:szCs w:val="32"/>
          <w:vertAlign w:val="superscript"/>
          <w:lang w:val="en-US" w:eastAsia="zh-CN" w:bidi="ar"/>
        </w:rPr>
        <w:fldChar w:fldCharType="begin"/>
      </w:r>
      <w:r>
        <w:rPr>
          <w:rFonts w:hint="eastAsia" w:ascii="仿宋" w:hAnsi="仿宋" w:eastAsia="仿宋" w:cs="仿宋"/>
          <w:kern w:val="2"/>
          <w:sz w:val="32"/>
          <w:szCs w:val="32"/>
          <w:vertAlign w:val="superscript"/>
          <w:lang w:val="en-US" w:eastAsia="zh-CN" w:bidi="ar"/>
        </w:rPr>
        <w:instrText xml:space="preserve"> REF _Ref28306 \w \h </w:instrText>
      </w:r>
      <w:r>
        <w:rPr>
          <w:rFonts w:hint="eastAsia" w:ascii="仿宋" w:hAnsi="仿宋" w:eastAsia="仿宋" w:cs="仿宋"/>
          <w:kern w:val="2"/>
          <w:sz w:val="32"/>
          <w:szCs w:val="32"/>
          <w:vertAlign w:val="superscript"/>
          <w:lang w:val="en-US" w:eastAsia="zh-CN" w:bidi="ar"/>
        </w:rPr>
        <w:fldChar w:fldCharType="separate"/>
      </w:r>
      <w:r>
        <w:rPr>
          <w:rFonts w:hint="eastAsia" w:ascii="仿宋" w:hAnsi="仿宋" w:eastAsia="仿宋" w:cs="仿宋"/>
          <w:kern w:val="2"/>
          <w:sz w:val="32"/>
          <w:szCs w:val="32"/>
          <w:vertAlign w:val="superscript"/>
          <w:lang w:val="en-US" w:eastAsia="zh-CN" w:bidi="ar"/>
        </w:rPr>
        <w:t>[6]</w:t>
      </w:r>
      <w:r>
        <w:rPr>
          <w:rFonts w:hint="eastAsia" w:ascii="仿宋" w:hAnsi="仿宋" w:eastAsia="仿宋" w:cs="仿宋"/>
          <w:kern w:val="2"/>
          <w:sz w:val="32"/>
          <w:szCs w:val="32"/>
          <w:vertAlign w:val="superscript"/>
          <w:lang w:val="en-US" w:eastAsia="zh-CN" w:bidi="ar"/>
        </w:rPr>
        <w:fldChar w:fldCharType="end"/>
      </w:r>
      <w:r>
        <w:rPr>
          <w:rFonts w:hint="eastAsia" w:ascii="仿宋" w:hAnsi="仿宋" w:eastAsia="仿宋" w:cs="仿宋"/>
          <w:kern w:val="2"/>
          <w:sz w:val="32"/>
          <w:szCs w:val="32"/>
          <w:lang w:val="en-US" w:eastAsia="zh-CN" w:bidi="ar"/>
        </w:rPr>
        <w:t>。</w:t>
      </w:r>
    </w:p>
    <w:p>
      <w:pPr>
        <w:keepNext w:val="0"/>
        <w:keepLines w:val="0"/>
        <w:widowControl/>
        <w:numPr>
          <w:ilvl w:val="0"/>
          <w:numId w:val="0"/>
        </w:numPr>
        <w:suppressLineNumbers w:val="0"/>
        <w:ind w:firstLine="640" w:firstLineChars="200"/>
        <w:jc w:val="left"/>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从性别分布看，不管从整体还是从各阶段来看男生消瘦、超重、肥胖率均大于女生。男生超重、肥胖占比中高中占比相对较多。女生超重、肥胖占比中高中、小学占比相对较多。</w:t>
      </w:r>
    </w:p>
    <w:p>
      <w:pPr>
        <w:keepNext w:val="0"/>
        <w:keepLines w:val="0"/>
        <w:widowControl/>
        <w:numPr>
          <w:ilvl w:val="0"/>
          <w:numId w:val="0"/>
        </w:numPr>
        <w:suppressLineNumbers w:val="0"/>
        <w:jc w:val="left"/>
        <w:rPr>
          <w:rFonts w:hint="eastAsia" w:asciiTheme="majorEastAsia" w:hAnsiTheme="majorEastAsia" w:eastAsiaTheme="majorEastAsia" w:cstheme="majorEastAsia"/>
          <w:b/>
          <w:bCs/>
          <w:kern w:val="2"/>
          <w:sz w:val="36"/>
          <w:szCs w:val="36"/>
          <w:lang w:val="en-US" w:eastAsia="zh-CN" w:bidi="ar"/>
        </w:rPr>
      </w:pPr>
      <w:r>
        <w:rPr>
          <w:rFonts w:hint="eastAsia" w:asciiTheme="majorEastAsia" w:hAnsiTheme="majorEastAsia" w:eastAsiaTheme="majorEastAsia" w:cstheme="majorEastAsia"/>
          <w:b/>
          <w:bCs/>
          <w:kern w:val="2"/>
          <w:sz w:val="36"/>
          <w:szCs w:val="36"/>
          <w:lang w:val="en-US" w:eastAsia="zh-CN" w:bidi="ar"/>
        </w:rPr>
        <w:t>4、结论</w:t>
      </w:r>
    </w:p>
    <w:p>
      <w:pPr>
        <w:keepNext w:val="0"/>
        <w:keepLines w:val="0"/>
        <w:widowControl/>
        <w:numPr>
          <w:ilvl w:val="0"/>
          <w:numId w:val="0"/>
        </w:numPr>
        <w:suppressLineNumbers w:val="0"/>
        <w:ind w:firstLine="640" w:firstLineChars="200"/>
        <w:jc w:val="left"/>
        <w:rPr>
          <w:rFonts w:hint="default" w:ascii="仿宋" w:hAnsi="仿宋" w:eastAsia="仿宋" w:cs="仿宋"/>
          <w:b w:val="0"/>
          <w:bCs w:val="0"/>
          <w:kern w:val="2"/>
          <w:sz w:val="36"/>
          <w:szCs w:val="36"/>
          <w:lang w:val="en-US" w:eastAsia="zh-CN" w:bidi="ar"/>
        </w:rPr>
      </w:pPr>
      <w:r>
        <w:rPr>
          <w:rFonts w:hint="eastAsia" w:ascii="仿宋" w:hAnsi="仿宋" w:eastAsia="仿宋" w:cs="仿宋"/>
          <w:kern w:val="2"/>
          <w:sz w:val="32"/>
          <w:szCs w:val="32"/>
          <w:lang w:val="en-US" w:eastAsia="zh-CN" w:bidi="ar"/>
        </w:rPr>
        <w:t>我旗中小学生营养状况正常人数占比61.07%，营养状况女生相对比男生要稍好一些，初中要比高中小学稍好一些，但超重肥胖占比还是不容乐观。体质指数上依据《奈曼旗中小学生情况》中各年级年龄范围</w:t>
      </w:r>
      <w:r>
        <w:rPr>
          <w:rFonts w:hint="eastAsia" w:ascii="仿宋" w:hAnsi="仿宋" w:eastAsia="仿宋" w:cs="仿宋"/>
          <w:b w:val="0"/>
          <w:bCs w:val="0"/>
          <w:kern w:val="2"/>
          <w:sz w:val="32"/>
          <w:szCs w:val="32"/>
          <w:lang w:val="en-US" w:eastAsia="zh-CN" w:bidi="ar"/>
        </w:rPr>
        <w:t>分布情况和国家营养不良</w:t>
      </w:r>
      <w:r>
        <w:rPr>
          <w:rFonts w:hint="eastAsia" w:ascii="仿宋" w:hAnsi="仿宋" w:eastAsia="仿宋" w:cs="仿宋"/>
          <w:b w:val="0"/>
          <w:bCs w:val="0"/>
          <w:kern w:val="2"/>
          <w:sz w:val="32"/>
          <w:szCs w:val="32"/>
          <w:vertAlign w:val="superscript"/>
          <w:lang w:val="en-US" w:eastAsia="zh-CN" w:bidi="ar"/>
        </w:rPr>
        <w:fldChar w:fldCharType="begin"/>
      </w:r>
      <w:r>
        <w:rPr>
          <w:rFonts w:hint="eastAsia" w:ascii="仿宋" w:hAnsi="仿宋" w:eastAsia="仿宋" w:cs="仿宋"/>
          <w:b w:val="0"/>
          <w:bCs w:val="0"/>
          <w:kern w:val="2"/>
          <w:sz w:val="32"/>
          <w:szCs w:val="32"/>
          <w:vertAlign w:val="superscript"/>
          <w:lang w:val="en-US" w:eastAsia="zh-CN" w:bidi="ar"/>
        </w:rPr>
        <w:instrText xml:space="preserve"> REF _Ref27294 \w \h </w:instrText>
      </w:r>
      <w:r>
        <w:rPr>
          <w:rFonts w:hint="eastAsia" w:ascii="仿宋" w:hAnsi="仿宋" w:eastAsia="仿宋" w:cs="仿宋"/>
          <w:b w:val="0"/>
          <w:bCs w:val="0"/>
          <w:kern w:val="2"/>
          <w:sz w:val="32"/>
          <w:szCs w:val="32"/>
          <w:vertAlign w:val="superscript"/>
          <w:lang w:val="en-US" w:eastAsia="zh-CN" w:bidi="ar"/>
        </w:rPr>
        <w:fldChar w:fldCharType="separate"/>
      </w:r>
      <w:r>
        <w:rPr>
          <w:rFonts w:hint="eastAsia" w:ascii="仿宋" w:hAnsi="仿宋" w:eastAsia="仿宋" w:cs="仿宋"/>
          <w:b w:val="0"/>
          <w:bCs w:val="0"/>
          <w:kern w:val="2"/>
          <w:sz w:val="32"/>
          <w:szCs w:val="32"/>
          <w:vertAlign w:val="superscript"/>
          <w:lang w:val="en-US" w:eastAsia="zh-CN" w:bidi="ar"/>
        </w:rPr>
        <w:t>[1]</w:t>
      </w:r>
      <w:r>
        <w:rPr>
          <w:rFonts w:hint="eastAsia" w:ascii="仿宋" w:hAnsi="仿宋" w:eastAsia="仿宋" w:cs="仿宋"/>
          <w:b w:val="0"/>
          <w:bCs w:val="0"/>
          <w:kern w:val="2"/>
          <w:sz w:val="32"/>
          <w:szCs w:val="32"/>
          <w:vertAlign w:val="superscript"/>
          <w:lang w:val="en-US" w:eastAsia="zh-CN" w:bidi="ar"/>
        </w:rPr>
        <w:fldChar w:fldCharType="end"/>
      </w:r>
      <w:r>
        <w:rPr>
          <w:rFonts w:hint="eastAsia" w:ascii="仿宋" w:hAnsi="仿宋" w:eastAsia="仿宋" w:cs="仿宋"/>
          <w:b w:val="0"/>
          <w:bCs w:val="0"/>
          <w:kern w:val="2"/>
          <w:sz w:val="32"/>
          <w:szCs w:val="32"/>
          <w:lang w:val="en-US" w:eastAsia="zh-CN" w:bidi="ar"/>
        </w:rPr>
        <w:t>、超重与肥胖筛查标准</w:t>
      </w:r>
      <w:r>
        <w:rPr>
          <w:rFonts w:hint="eastAsia" w:ascii="仿宋" w:hAnsi="仿宋" w:eastAsia="仿宋" w:cs="仿宋"/>
          <w:b w:val="0"/>
          <w:bCs w:val="0"/>
          <w:kern w:val="2"/>
          <w:sz w:val="32"/>
          <w:szCs w:val="32"/>
          <w:vertAlign w:val="superscript"/>
          <w:lang w:val="en-US" w:eastAsia="zh-CN" w:bidi="ar"/>
        </w:rPr>
        <w:fldChar w:fldCharType="begin"/>
      </w:r>
      <w:r>
        <w:rPr>
          <w:rFonts w:hint="eastAsia" w:ascii="仿宋" w:hAnsi="仿宋" w:eastAsia="仿宋" w:cs="仿宋"/>
          <w:b w:val="0"/>
          <w:bCs w:val="0"/>
          <w:kern w:val="2"/>
          <w:sz w:val="32"/>
          <w:szCs w:val="32"/>
          <w:vertAlign w:val="superscript"/>
          <w:lang w:val="en-US" w:eastAsia="zh-CN" w:bidi="ar"/>
        </w:rPr>
        <w:instrText xml:space="preserve"> REF _Ref28424 \w \h </w:instrText>
      </w:r>
      <w:r>
        <w:rPr>
          <w:rFonts w:hint="eastAsia" w:ascii="仿宋" w:hAnsi="仿宋" w:eastAsia="仿宋" w:cs="仿宋"/>
          <w:b w:val="0"/>
          <w:bCs w:val="0"/>
          <w:kern w:val="2"/>
          <w:sz w:val="32"/>
          <w:szCs w:val="32"/>
          <w:vertAlign w:val="superscript"/>
          <w:lang w:val="en-US" w:eastAsia="zh-CN" w:bidi="ar"/>
        </w:rPr>
        <w:fldChar w:fldCharType="separate"/>
      </w:r>
      <w:r>
        <w:rPr>
          <w:rFonts w:hint="eastAsia" w:ascii="仿宋" w:hAnsi="仿宋" w:eastAsia="仿宋" w:cs="仿宋"/>
          <w:b w:val="0"/>
          <w:bCs w:val="0"/>
          <w:kern w:val="2"/>
          <w:sz w:val="32"/>
          <w:szCs w:val="32"/>
          <w:vertAlign w:val="superscript"/>
          <w:lang w:val="en-US" w:eastAsia="zh-CN" w:bidi="ar"/>
        </w:rPr>
        <w:t>[2]</w:t>
      </w:r>
      <w:r>
        <w:rPr>
          <w:rFonts w:hint="eastAsia" w:ascii="仿宋" w:hAnsi="仿宋" w:eastAsia="仿宋" w:cs="仿宋"/>
          <w:b w:val="0"/>
          <w:bCs w:val="0"/>
          <w:kern w:val="2"/>
          <w:sz w:val="32"/>
          <w:szCs w:val="32"/>
          <w:vertAlign w:val="superscript"/>
          <w:lang w:val="en-US" w:eastAsia="zh-CN" w:bidi="ar"/>
        </w:rPr>
        <w:fldChar w:fldCharType="end"/>
      </w:r>
      <w:r>
        <w:rPr>
          <w:rFonts w:hint="eastAsia" w:ascii="仿宋" w:hAnsi="仿宋" w:eastAsia="仿宋" w:cs="仿宋"/>
          <w:b w:val="0"/>
          <w:bCs w:val="0"/>
          <w:kern w:val="2"/>
          <w:sz w:val="32"/>
          <w:szCs w:val="32"/>
          <w:lang w:val="en-US" w:eastAsia="zh-CN" w:bidi="ar"/>
        </w:rPr>
        <w:t>相互对照，各个年级体质指数平均值都处在正常范围内，且总体呈现出体质指数随年级升高逐步上升，城镇学生大于乡镇学生，城镇男生&gt;乡镇男生&gt;城镇女生&gt;乡镇女生的分布情况。</w:t>
      </w:r>
    </w:p>
    <w:p>
      <w:pPr>
        <w:keepNext w:val="0"/>
        <w:keepLines w:val="0"/>
        <w:widowControl/>
        <w:numPr>
          <w:ilvl w:val="0"/>
          <w:numId w:val="2"/>
        </w:numPr>
        <w:suppressLineNumbers w:val="0"/>
        <w:jc w:val="left"/>
        <w:rPr>
          <w:rFonts w:hint="eastAsia" w:asciiTheme="majorEastAsia" w:hAnsiTheme="majorEastAsia" w:eastAsiaTheme="majorEastAsia" w:cstheme="majorEastAsia"/>
          <w:b w:val="0"/>
          <w:bCs w:val="0"/>
          <w:kern w:val="2"/>
          <w:sz w:val="36"/>
          <w:szCs w:val="36"/>
          <w:lang w:val="en-US" w:eastAsia="zh-CN" w:bidi="ar"/>
        </w:rPr>
      </w:pPr>
      <w:r>
        <w:rPr>
          <w:rFonts w:hint="eastAsia" w:asciiTheme="majorEastAsia" w:hAnsiTheme="majorEastAsia" w:eastAsiaTheme="majorEastAsia" w:cstheme="majorEastAsia"/>
          <w:b/>
          <w:bCs/>
          <w:kern w:val="2"/>
          <w:sz w:val="36"/>
          <w:szCs w:val="36"/>
          <w:lang w:val="en-US" w:eastAsia="zh-CN" w:bidi="ar"/>
        </w:rPr>
        <w:t>建议</w:t>
      </w:r>
      <w:r>
        <w:rPr>
          <w:rFonts w:hint="eastAsia" w:asciiTheme="majorEastAsia" w:hAnsiTheme="majorEastAsia" w:eastAsiaTheme="majorEastAsia" w:cstheme="majorEastAsia"/>
          <w:b w:val="0"/>
          <w:bCs w:val="0"/>
          <w:kern w:val="2"/>
          <w:sz w:val="36"/>
          <w:szCs w:val="36"/>
          <w:vertAlign w:val="superscript"/>
          <w:lang w:val="en-US" w:eastAsia="zh-CN" w:bidi="ar"/>
        </w:rPr>
        <w:fldChar w:fldCharType="begin"/>
      </w:r>
      <w:r>
        <w:rPr>
          <w:rFonts w:hint="eastAsia" w:asciiTheme="majorEastAsia" w:hAnsiTheme="majorEastAsia" w:eastAsiaTheme="majorEastAsia" w:cstheme="majorEastAsia"/>
          <w:b w:val="0"/>
          <w:bCs w:val="0"/>
          <w:kern w:val="2"/>
          <w:sz w:val="36"/>
          <w:szCs w:val="36"/>
          <w:vertAlign w:val="superscript"/>
          <w:lang w:val="en-US" w:eastAsia="zh-CN" w:bidi="ar"/>
        </w:rPr>
        <w:instrText xml:space="preserve"> REF _Ref28564 \w \h </w:instrText>
      </w:r>
      <w:r>
        <w:rPr>
          <w:rFonts w:hint="eastAsia" w:asciiTheme="majorEastAsia" w:hAnsiTheme="majorEastAsia" w:eastAsiaTheme="majorEastAsia" w:cstheme="majorEastAsia"/>
          <w:b w:val="0"/>
          <w:bCs w:val="0"/>
          <w:kern w:val="2"/>
          <w:sz w:val="36"/>
          <w:szCs w:val="36"/>
          <w:vertAlign w:val="superscript"/>
          <w:lang w:val="en-US" w:eastAsia="zh-CN" w:bidi="ar"/>
        </w:rPr>
        <w:fldChar w:fldCharType="separate"/>
      </w:r>
      <w:r>
        <w:rPr>
          <w:rFonts w:hint="eastAsia" w:asciiTheme="majorEastAsia" w:hAnsiTheme="majorEastAsia" w:eastAsiaTheme="majorEastAsia" w:cstheme="majorEastAsia"/>
          <w:b w:val="0"/>
          <w:bCs w:val="0"/>
          <w:kern w:val="2"/>
          <w:sz w:val="36"/>
          <w:szCs w:val="36"/>
          <w:vertAlign w:val="superscript"/>
          <w:lang w:val="en-US" w:eastAsia="zh-CN" w:bidi="ar"/>
        </w:rPr>
        <w:t>[7</w:t>
      </w:r>
      <w:r>
        <w:rPr>
          <w:rFonts w:hint="eastAsia" w:asciiTheme="majorEastAsia" w:hAnsiTheme="majorEastAsia" w:eastAsiaTheme="majorEastAsia" w:cstheme="majorEastAsia"/>
          <w:b w:val="0"/>
          <w:bCs w:val="0"/>
          <w:kern w:val="2"/>
          <w:sz w:val="36"/>
          <w:szCs w:val="36"/>
          <w:vertAlign w:val="superscript"/>
          <w:lang w:val="en-US" w:eastAsia="zh-CN" w:bidi="ar"/>
        </w:rPr>
        <w:fldChar w:fldCharType="end"/>
      </w:r>
      <w:r>
        <w:rPr>
          <w:rFonts w:hint="eastAsia" w:asciiTheme="majorEastAsia" w:hAnsiTheme="majorEastAsia" w:eastAsiaTheme="majorEastAsia" w:cstheme="majorEastAsia"/>
          <w:b w:val="0"/>
          <w:bCs w:val="0"/>
          <w:kern w:val="2"/>
          <w:sz w:val="36"/>
          <w:szCs w:val="36"/>
          <w:vertAlign w:val="superscript"/>
          <w:lang w:val="en-US" w:eastAsia="zh-CN" w:bidi="ar"/>
        </w:rPr>
        <w:t>-</w:t>
      </w:r>
      <w:r>
        <w:rPr>
          <w:rFonts w:hint="eastAsia" w:asciiTheme="majorEastAsia" w:hAnsiTheme="majorEastAsia" w:eastAsiaTheme="majorEastAsia" w:cstheme="majorEastAsia"/>
          <w:b w:val="0"/>
          <w:bCs w:val="0"/>
          <w:kern w:val="2"/>
          <w:sz w:val="36"/>
          <w:szCs w:val="36"/>
          <w:vertAlign w:val="superscript"/>
          <w:lang w:val="en-US" w:eastAsia="zh-CN" w:bidi="ar"/>
        </w:rPr>
        <w:fldChar w:fldCharType="begin"/>
      </w:r>
      <w:r>
        <w:rPr>
          <w:rFonts w:hint="eastAsia" w:asciiTheme="majorEastAsia" w:hAnsiTheme="majorEastAsia" w:eastAsiaTheme="majorEastAsia" w:cstheme="majorEastAsia"/>
          <w:b w:val="0"/>
          <w:bCs w:val="0"/>
          <w:kern w:val="2"/>
          <w:sz w:val="36"/>
          <w:szCs w:val="36"/>
          <w:vertAlign w:val="superscript"/>
          <w:lang w:val="en-US" w:eastAsia="zh-CN" w:bidi="ar"/>
        </w:rPr>
        <w:instrText xml:space="preserve"> REF _Ref28571 \w \h </w:instrText>
      </w:r>
      <w:r>
        <w:rPr>
          <w:rFonts w:hint="eastAsia" w:asciiTheme="majorEastAsia" w:hAnsiTheme="majorEastAsia" w:eastAsiaTheme="majorEastAsia" w:cstheme="majorEastAsia"/>
          <w:b w:val="0"/>
          <w:bCs w:val="0"/>
          <w:kern w:val="2"/>
          <w:sz w:val="36"/>
          <w:szCs w:val="36"/>
          <w:vertAlign w:val="superscript"/>
          <w:lang w:val="en-US" w:eastAsia="zh-CN" w:bidi="ar"/>
        </w:rPr>
        <w:fldChar w:fldCharType="separate"/>
      </w:r>
      <w:r>
        <w:rPr>
          <w:rFonts w:hint="eastAsia" w:asciiTheme="majorEastAsia" w:hAnsiTheme="majorEastAsia" w:eastAsiaTheme="majorEastAsia" w:cstheme="majorEastAsia"/>
          <w:b w:val="0"/>
          <w:bCs w:val="0"/>
          <w:kern w:val="2"/>
          <w:sz w:val="36"/>
          <w:szCs w:val="36"/>
          <w:vertAlign w:val="superscript"/>
          <w:lang w:val="en-US" w:eastAsia="zh-CN" w:bidi="ar"/>
        </w:rPr>
        <w:t>8]</w:t>
      </w:r>
      <w:r>
        <w:rPr>
          <w:rFonts w:hint="eastAsia" w:asciiTheme="majorEastAsia" w:hAnsiTheme="majorEastAsia" w:eastAsiaTheme="majorEastAsia" w:cstheme="majorEastAsia"/>
          <w:b w:val="0"/>
          <w:bCs w:val="0"/>
          <w:kern w:val="2"/>
          <w:sz w:val="36"/>
          <w:szCs w:val="36"/>
          <w:vertAlign w:val="superscript"/>
          <w:lang w:val="en-US" w:eastAsia="zh-CN" w:bidi="ar"/>
        </w:rPr>
        <w:fldChar w:fldCharType="end"/>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5.1三餐合理，规律进餐，培养良好饮食习惯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做到一日三餐，包括适量的谷薯类、蔬菜、水果、禽畜鱼蛋、豆类坚果，以及充足的奶制品。两餐间隔4～6小时，三餐定时定量。早餐提供的能量应占全天总能量的25%～30%、午餐占30%～40%、晚餐占30%～35%。要每天吃早餐，保证早餐的营养充足。早餐应包括谷薯类、禽畜肉蛋类、奶类或豆类及其制品和新鲜蔬菜水果等食物。三餐不能用糕点、甜食或零食代替。做到清淡饮食，少吃含高盐、高糖和高脂肪的快餐。</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5.2合理选择零食，禁止饮酒，多饮水少喝含糖饮料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零食是指一日三餐以外吃的所有食物和饮料，不包括水。儿童可选择卫生、营养丰富的食物作为零食，如水果和能生吃的新鲜蔬菜、奶制品、大豆及其制品或坚果。油炸、高盐或高糖的食品不宜做零食。要保障充足饮水，每天800～1400ml，首选白开水，不喝或少喝含糖饮料，更不能饮酒。</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5.3不偏食节食不暴饮暴食，保持适宜体重增长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儿童应做到不偏食挑食、不暴饮暴食，正确认识自己的体型，保证适宜的体重增长。营养不良的儿童，要在吃饱的基础上，增加鱼禽蛋肉、或豆制品等富含优质蛋白质食物的摄入。超重肥胖会损害儿童的体格和心理健康，要通过合理膳食和积极的身体活动预防超重肥胖。对于已经超重肥胖的儿童，应在保证体重合理增长的基础上，控制总能量摄入，逐步增加运动频率和运动强度。</w:t>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5.4增加户外活动，保证每天活动60分钟</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规律的运动、充足的睡眠，可促进儿童生长发育和预防超重、肥胖的发生。并能提高他们的学习效率。儿童少年要增加户外活动时间，做到每天累计至少60分钟中等强度以上的身体活动；视屏时间每天不超过2小时，越少越好。</w:t>
      </w:r>
    </w:p>
    <w:p>
      <w:pPr>
        <w:keepNext w:val="0"/>
        <w:keepLines w:val="0"/>
        <w:widowControl/>
        <w:numPr>
          <w:ilvl w:val="0"/>
          <w:numId w:val="0"/>
        </w:numPr>
        <w:suppressLineNumbers w:val="0"/>
        <w:ind w:left="5398" w:leftChars="342" w:hanging="4680" w:hangingChars="1300"/>
        <w:jc w:val="left"/>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36"/>
          <w:szCs w:val="36"/>
          <w:lang w:val="en-US" w:eastAsia="zh-CN" w:bidi="ar"/>
        </w:rPr>
        <w:t xml:space="preserve">                       </w:t>
      </w:r>
      <w:r>
        <w:rPr>
          <w:rFonts w:hint="eastAsia" w:ascii="仿宋" w:hAnsi="仿宋" w:eastAsia="仿宋" w:cs="仿宋"/>
          <w:b w:val="0"/>
          <w:bCs w:val="0"/>
          <w:kern w:val="2"/>
          <w:sz w:val="32"/>
          <w:szCs w:val="32"/>
          <w:lang w:val="en-US" w:eastAsia="zh-CN" w:bidi="ar"/>
        </w:rPr>
        <w:t xml:space="preserve">                             </w:t>
      </w:r>
    </w:p>
    <w:p>
      <w:pPr>
        <w:keepNext w:val="0"/>
        <w:keepLines w:val="0"/>
        <w:widowControl/>
        <w:numPr>
          <w:ilvl w:val="0"/>
          <w:numId w:val="0"/>
        </w:numPr>
        <w:suppressLineNumbers w:val="0"/>
        <w:ind w:firstLine="5600" w:firstLineChars="2000"/>
        <w:jc w:val="left"/>
        <w:rPr>
          <w:rFonts w:hint="eastAsia" w:ascii="仿宋" w:hAnsi="仿宋" w:eastAsia="仿宋" w:cs="仿宋"/>
          <w:b w:val="0"/>
          <w:bCs w:val="0"/>
          <w:kern w:val="2"/>
          <w:sz w:val="28"/>
          <w:szCs w:val="28"/>
          <w:lang w:val="en-US" w:eastAsia="zh-CN" w:bidi="ar"/>
        </w:rPr>
      </w:pPr>
      <w:r>
        <w:rPr>
          <w:rFonts w:hint="eastAsia" w:ascii="仿宋" w:hAnsi="仿宋" w:eastAsia="仿宋" w:cs="仿宋"/>
          <w:b w:val="0"/>
          <w:bCs w:val="0"/>
          <w:kern w:val="2"/>
          <w:sz w:val="28"/>
          <w:szCs w:val="28"/>
          <w:lang w:val="en-US" w:eastAsia="zh-CN" w:bidi="ar"/>
        </w:rPr>
        <w:t>2024年1月10日</w:t>
      </w:r>
    </w:p>
    <w:p>
      <w:pPr>
        <w:keepNext w:val="0"/>
        <w:keepLines w:val="0"/>
        <w:widowControl/>
        <w:numPr>
          <w:ilvl w:val="0"/>
          <w:numId w:val="0"/>
        </w:numPr>
        <w:suppressLineNumbers w:val="0"/>
        <w:ind w:firstLine="5320" w:firstLineChars="1900"/>
        <w:jc w:val="left"/>
        <w:rPr>
          <w:rFonts w:hint="eastAsia" w:ascii="仿宋" w:hAnsi="仿宋" w:eastAsia="仿宋" w:cs="仿宋"/>
          <w:b w:val="0"/>
          <w:bCs w:val="0"/>
          <w:kern w:val="2"/>
          <w:sz w:val="32"/>
          <w:szCs w:val="32"/>
          <w:lang w:val="en-US" w:eastAsia="zh-CN" w:bidi="ar"/>
        </w:rPr>
      </w:pPr>
      <w:r>
        <w:rPr>
          <w:rFonts w:hint="eastAsia" w:ascii="仿宋" w:hAnsi="仿宋" w:eastAsia="仿宋" w:cs="仿宋"/>
          <w:b w:val="0"/>
          <w:bCs w:val="0"/>
          <w:kern w:val="2"/>
          <w:sz w:val="28"/>
          <w:szCs w:val="28"/>
          <w:lang w:val="en-US" w:eastAsia="zh-CN" w:bidi="ar"/>
        </w:rPr>
        <w:t>奈曼旗疾病预防控中心</w:t>
      </w:r>
    </w:p>
    <w:p>
      <w:pPr>
        <w:keepNext w:val="0"/>
        <w:keepLines w:val="0"/>
        <w:widowControl/>
        <w:numPr>
          <w:ilvl w:val="0"/>
          <w:numId w:val="0"/>
        </w:numPr>
        <w:suppressLineNumbers w:val="0"/>
        <w:ind w:firstLine="640" w:firstLineChars="200"/>
        <w:jc w:val="left"/>
        <w:rPr>
          <w:rFonts w:hint="default" w:ascii="仿宋" w:hAnsi="仿宋" w:eastAsia="仿宋" w:cs="仿宋"/>
          <w:b w:val="0"/>
          <w:bCs w:val="0"/>
          <w:kern w:val="2"/>
          <w:sz w:val="32"/>
          <w:szCs w:val="32"/>
          <w:lang w:val="en-US" w:eastAsia="zh-CN" w:bidi="ar"/>
        </w:rPr>
      </w:pPr>
    </w:p>
    <w:p>
      <w:pPr>
        <w:rPr>
          <w:rFonts w:hint="default" w:ascii="仿宋" w:hAnsi="仿宋" w:eastAsia="仿宋" w:cs="仿宋"/>
          <w:b/>
          <w:bCs/>
          <w:kern w:val="2"/>
          <w:sz w:val="28"/>
          <w:szCs w:val="28"/>
          <w:lang w:val="en-US" w:eastAsia="zh-CN" w:bidi="ar"/>
        </w:rPr>
      </w:pPr>
      <w:r>
        <w:rPr>
          <w:rFonts w:hint="eastAsia" w:ascii="仿宋" w:hAnsi="仿宋" w:eastAsia="仿宋" w:cs="仿宋"/>
          <w:b/>
          <w:bCs/>
          <w:kern w:val="2"/>
          <w:sz w:val="28"/>
          <w:szCs w:val="28"/>
          <w:lang w:val="en-US" w:eastAsia="zh-CN" w:bidi="ar"/>
        </w:rPr>
        <w:t>参考文献</w:t>
      </w:r>
    </w:p>
    <w:p>
      <w:pPr>
        <w:rPr>
          <w:b/>
          <w:bCs/>
          <w:sz w:val="21"/>
          <w:szCs w:val="20"/>
        </w:rPr>
      </w:pPr>
    </w:p>
    <w:p>
      <w:pPr>
        <w:keepNext w:val="0"/>
        <w:keepLines w:val="0"/>
        <w:widowControl/>
        <w:numPr>
          <w:ilvl w:val="0"/>
          <w:numId w:val="3"/>
        </w:numPr>
        <w:suppressLineNumbers w:val="0"/>
        <w:ind w:left="425" w:leftChars="0" w:hanging="425" w:firstLineChars="0"/>
        <w:jc w:val="left"/>
        <w:rPr>
          <w:rFonts w:hint="eastAsia" w:ascii="仿宋" w:hAnsi="仿宋" w:eastAsia="仿宋" w:cs="仿宋"/>
          <w:b w:val="0"/>
          <w:bCs w:val="0"/>
          <w:sz w:val="13"/>
          <w:szCs w:val="13"/>
        </w:rPr>
      </w:pPr>
      <w:bookmarkStart w:id="0" w:name="_Ref27294"/>
      <w:r>
        <w:rPr>
          <w:rFonts w:hint="eastAsia" w:ascii="仿宋" w:hAnsi="仿宋" w:eastAsia="仿宋" w:cs="仿宋"/>
          <w:b w:val="0"/>
          <w:bCs w:val="0"/>
          <w:sz w:val="13"/>
          <w:szCs w:val="13"/>
          <w:lang w:val="en-US" w:eastAsia="zh-CN"/>
        </w:rPr>
        <w:t>中华人共和国卫生健康委员会，</w:t>
      </w:r>
      <w:r>
        <w:rPr>
          <w:rFonts w:hint="default" w:ascii="仿宋" w:hAnsi="仿宋" w:eastAsia="仿宋" w:cs="仿宋"/>
          <w:b w:val="0"/>
          <w:bCs w:val="0"/>
          <w:sz w:val="13"/>
          <w:szCs w:val="13"/>
          <w:lang w:val="en-US" w:eastAsia="zh-CN"/>
        </w:rPr>
        <w:t>中国国家标准化管理委员会</w:t>
      </w:r>
      <w:r>
        <w:rPr>
          <w:rFonts w:hint="eastAsia" w:ascii="仿宋" w:hAnsi="仿宋" w:eastAsia="仿宋" w:cs="仿宋"/>
          <w:b w:val="0"/>
          <w:bCs w:val="0"/>
          <w:sz w:val="13"/>
          <w:szCs w:val="13"/>
          <w:lang w:val="en-US" w:eastAsia="zh-CN"/>
        </w:rPr>
        <w:t>．</w:t>
      </w:r>
      <w:r>
        <w:rPr>
          <w:rFonts w:hint="default" w:ascii="仿宋" w:hAnsi="仿宋" w:eastAsia="仿宋" w:cs="仿宋"/>
          <w:b w:val="0"/>
          <w:bCs w:val="0"/>
          <w:sz w:val="13"/>
          <w:szCs w:val="13"/>
          <w:lang w:val="en-US" w:eastAsia="zh-CN"/>
        </w:rPr>
        <w:t>学龄儿童青少年营养不良筛查WS/T456-2014［S］．201</w:t>
      </w:r>
      <w:r>
        <w:rPr>
          <w:rFonts w:hint="eastAsia" w:ascii="仿宋" w:hAnsi="仿宋" w:eastAsia="仿宋" w:cs="仿宋"/>
          <w:b w:val="0"/>
          <w:bCs w:val="0"/>
          <w:sz w:val="13"/>
          <w:szCs w:val="13"/>
          <w:lang w:val="en-US" w:eastAsia="zh-CN"/>
        </w:rPr>
        <w:t>4</w:t>
      </w:r>
      <w:r>
        <w:rPr>
          <w:rFonts w:hint="default" w:ascii="仿宋" w:hAnsi="仿宋" w:eastAsia="仿宋" w:cs="仿宋"/>
          <w:b w:val="0"/>
          <w:bCs w:val="0"/>
          <w:sz w:val="13"/>
          <w:szCs w:val="13"/>
          <w:lang w:val="en-US" w:eastAsia="zh-CN"/>
        </w:rPr>
        <w:t>－0</w:t>
      </w:r>
      <w:r>
        <w:rPr>
          <w:rFonts w:hint="eastAsia" w:ascii="仿宋" w:hAnsi="仿宋" w:eastAsia="仿宋" w:cs="仿宋"/>
          <w:b w:val="0"/>
          <w:bCs w:val="0"/>
          <w:sz w:val="13"/>
          <w:szCs w:val="13"/>
          <w:lang w:val="en-US" w:eastAsia="zh-CN"/>
        </w:rPr>
        <w:t>6</w:t>
      </w:r>
      <w:r>
        <w:rPr>
          <w:rFonts w:hint="default" w:ascii="仿宋" w:hAnsi="仿宋" w:eastAsia="仿宋" w:cs="仿宋"/>
          <w:b w:val="0"/>
          <w:bCs w:val="0"/>
          <w:sz w:val="13"/>
          <w:szCs w:val="13"/>
          <w:lang w:val="en-US" w:eastAsia="zh-CN"/>
        </w:rPr>
        <w:t>－</w:t>
      </w:r>
      <w:r>
        <w:rPr>
          <w:rFonts w:hint="eastAsia" w:ascii="仿宋" w:hAnsi="仿宋" w:eastAsia="仿宋" w:cs="仿宋"/>
          <w:b w:val="0"/>
          <w:bCs w:val="0"/>
          <w:sz w:val="13"/>
          <w:szCs w:val="13"/>
          <w:lang w:val="en-US" w:eastAsia="zh-CN"/>
        </w:rPr>
        <w:t>25</w:t>
      </w:r>
      <w:r>
        <w:rPr>
          <w:rFonts w:hint="default" w:ascii="仿宋" w:hAnsi="仿宋" w:eastAsia="仿宋" w:cs="仿宋"/>
          <w:b w:val="0"/>
          <w:bCs w:val="0"/>
          <w:sz w:val="13"/>
          <w:szCs w:val="13"/>
          <w:lang w:val="en-US" w:eastAsia="zh-CN"/>
        </w:rPr>
        <w:t>．</w:t>
      </w:r>
      <w:bookmarkEnd w:id="0"/>
    </w:p>
    <w:p>
      <w:pPr>
        <w:keepNext w:val="0"/>
        <w:keepLines w:val="0"/>
        <w:widowControl/>
        <w:numPr>
          <w:ilvl w:val="0"/>
          <w:numId w:val="3"/>
        </w:numPr>
        <w:suppressLineNumbers w:val="0"/>
        <w:ind w:left="425" w:leftChars="0" w:hanging="425" w:firstLineChars="0"/>
        <w:jc w:val="left"/>
        <w:rPr>
          <w:rFonts w:hint="eastAsia" w:ascii="仿宋" w:hAnsi="仿宋" w:eastAsia="仿宋" w:cs="仿宋"/>
          <w:b w:val="0"/>
          <w:bCs w:val="0"/>
          <w:sz w:val="13"/>
          <w:szCs w:val="13"/>
        </w:rPr>
      </w:pPr>
      <w:bookmarkStart w:id="1" w:name="_Ref28424"/>
      <w:r>
        <w:rPr>
          <w:rFonts w:hint="eastAsia" w:ascii="仿宋" w:hAnsi="仿宋" w:eastAsia="仿宋" w:cs="仿宋"/>
          <w:b w:val="0"/>
          <w:bCs w:val="0"/>
          <w:sz w:val="13"/>
          <w:szCs w:val="13"/>
          <w:lang w:val="en-US" w:eastAsia="zh-CN"/>
        </w:rPr>
        <w:t>中华人共和国卫生健康委员会，</w:t>
      </w:r>
      <w:r>
        <w:rPr>
          <w:rFonts w:hint="default" w:ascii="仿宋" w:hAnsi="仿宋" w:eastAsia="仿宋" w:cs="仿宋"/>
          <w:b w:val="0"/>
          <w:bCs w:val="0"/>
          <w:sz w:val="13"/>
          <w:szCs w:val="13"/>
          <w:lang w:val="en-US" w:eastAsia="zh-CN"/>
        </w:rPr>
        <w:t>中国国家标准化管理委员会</w:t>
      </w:r>
      <w:r>
        <w:rPr>
          <w:rFonts w:hint="eastAsia" w:ascii="仿宋" w:hAnsi="仿宋" w:eastAsia="仿宋" w:cs="仿宋"/>
          <w:b w:val="0"/>
          <w:bCs w:val="0"/>
          <w:sz w:val="13"/>
          <w:szCs w:val="13"/>
          <w:lang w:val="en-US" w:eastAsia="zh-CN"/>
        </w:rPr>
        <w:t>．</w:t>
      </w:r>
      <w:r>
        <w:rPr>
          <w:rFonts w:hint="default" w:ascii="仿宋" w:hAnsi="仿宋" w:eastAsia="仿宋" w:cs="仿宋"/>
          <w:b w:val="0"/>
          <w:bCs w:val="0"/>
          <w:sz w:val="13"/>
          <w:szCs w:val="13"/>
          <w:lang w:val="en-US" w:eastAsia="zh-CN"/>
        </w:rPr>
        <w:t>学龄儿童青少年超重与肥胖筛查WS/T586-2018［S］．201</w:t>
      </w:r>
      <w:r>
        <w:rPr>
          <w:rFonts w:hint="eastAsia" w:ascii="仿宋" w:hAnsi="仿宋" w:eastAsia="仿宋" w:cs="仿宋"/>
          <w:b w:val="0"/>
          <w:bCs w:val="0"/>
          <w:sz w:val="13"/>
          <w:szCs w:val="13"/>
          <w:lang w:val="en-US" w:eastAsia="zh-CN"/>
        </w:rPr>
        <w:t>8</w:t>
      </w:r>
      <w:r>
        <w:rPr>
          <w:rFonts w:hint="default" w:ascii="仿宋" w:hAnsi="仿宋" w:eastAsia="仿宋" w:cs="仿宋"/>
          <w:b w:val="0"/>
          <w:bCs w:val="0"/>
          <w:sz w:val="13"/>
          <w:szCs w:val="13"/>
          <w:lang w:val="en-US" w:eastAsia="zh-CN"/>
        </w:rPr>
        <w:t>－0</w:t>
      </w:r>
      <w:r>
        <w:rPr>
          <w:rFonts w:hint="eastAsia" w:ascii="仿宋" w:hAnsi="仿宋" w:eastAsia="仿宋" w:cs="仿宋"/>
          <w:b w:val="0"/>
          <w:bCs w:val="0"/>
          <w:sz w:val="13"/>
          <w:szCs w:val="13"/>
          <w:lang w:val="en-US" w:eastAsia="zh-CN"/>
        </w:rPr>
        <w:t>2</w:t>
      </w:r>
      <w:r>
        <w:rPr>
          <w:rFonts w:hint="default" w:ascii="仿宋" w:hAnsi="仿宋" w:eastAsia="仿宋" w:cs="仿宋"/>
          <w:b w:val="0"/>
          <w:bCs w:val="0"/>
          <w:sz w:val="13"/>
          <w:szCs w:val="13"/>
          <w:lang w:val="en-US" w:eastAsia="zh-CN"/>
        </w:rPr>
        <w:t>－</w:t>
      </w:r>
      <w:r>
        <w:rPr>
          <w:rFonts w:hint="eastAsia" w:ascii="仿宋" w:hAnsi="仿宋" w:eastAsia="仿宋" w:cs="仿宋"/>
          <w:b w:val="0"/>
          <w:bCs w:val="0"/>
          <w:sz w:val="13"/>
          <w:szCs w:val="13"/>
          <w:lang w:val="en-US" w:eastAsia="zh-CN"/>
        </w:rPr>
        <w:t>23</w:t>
      </w:r>
      <w:r>
        <w:rPr>
          <w:rFonts w:hint="default" w:ascii="仿宋" w:hAnsi="仿宋" w:eastAsia="仿宋" w:cs="仿宋"/>
          <w:b w:val="0"/>
          <w:bCs w:val="0"/>
          <w:sz w:val="13"/>
          <w:szCs w:val="13"/>
          <w:lang w:val="en-US" w:eastAsia="zh-CN"/>
        </w:rPr>
        <w:t>．</w:t>
      </w:r>
      <w:bookmarkEnd w:id="1"/>
    </w:p>
    <w:p>
      <w:pPr>
        <w:keepNext w:val="0"/>
        <w:keepLines w:val="0"/>
        <w:widowControl/>
        <w:numPr>
          <w:ilvl w:val="0"/>
          <w:numId w:val="3"/>
        </w:numPr>
        <w:suppressLineNumbers w:val="0"/>
        <w:ind w:left="425" w:leftChars="0" w:hanging="425" w:firstLineChars="0"/>
        <w:jc w:val="left"/>
        <w:rPr>
          <w:rFonts w:hint="eastAsia" w:ascii="仿宋" w:hAnsi="仿宋" w:eastAsia="仿宋" w:cs="仿宋"/>
          <w:b w:val="0"/>
          <w:bCs w:val="0"/>
          <w:sz w:val="13"/>
          <w:szCs w:val="13"/>
        </w:rPr>
      </w:pPr>
      <w:bookmarkStart w:id="2" w:name="_Ref27748"/>
      <w:r>
        <w:rPr>
          <w:rFonts w:hint="eastAsia" w:ascii="仿宋" w:hAnsi="仿宋" w:eastAsia="仿宋" w:cs="仿宋"/>
          <w:b w:val="0"/>
          <w:bCs w:val="0"/>
          <w:sz w:val="13"/>
          <w:szCs w:val="13"/>
        </w:rPr>
        <w:t>国家卫生健康委办公厅</w:t>
      </w:r>
      <w:r>
        <w:rPr>
          <w:rFonts w:hint="eastAsia" w:ascii="仿宋" w:hAnsi="仿宋" w:eastAsia="仿宋" w:cs="仿宋"/>
          <w:b w:val="0"/>
          <w:bCs w:val="0"/>
          <w:sz w:val="13"/>
          <w:szCs w:val="13"/>
          <w:lang w:eastAsia="zh-CN"/>
        </w:rPr>
        <w:t>，</w:t>
      </w:r>
      <w:r>
        <w:rPr>
          <w:rFonts w:hint="eastAsia" w:ascii="仿宋" w:hAnsi="仿宋" w:eastAsia="仿宋" w:cs="仿宋"/>
          <w:b w:val="0"/>
          <w:bCs w:val="0"/>
          <w:sz w:val="13"/>
          <w:szCs w:val="13"/>
        </w:rPr>
        <w:t>教育部办公厅</w:t>
      </w:r>
      <w:r>
        <w:rPr>
          <w:rFonts w:hint="eastAsia" w:ascii="仿宋" w:hAnsi="仿宋" w:eastAsia="仿宋" w:cs="仿宋"/>
          <w:b w:val="0"/>
          <w:bCs w:val="0"/>
          <w:sz w:val="13"/>
          <w:szCs w:val="13"/>
          <w:lang w:val="en-US" w:eastAsia="zh-CN"/>
        </w:rPr>
        <w:t>等</w:t>
      </w:r>
      <w:r>
        <w:rPr>
          <w:rFonts w:hint="eastAsia" w:ascii="仿宋" w:hAnsi="仿宋" w:eastAsia="仿宋" w:cs="仿宋"/>
          <w:b w:val="0"/>
          <w:bCs w:val="0"/>
          <w:sz w:val="13"/>
          <w:szCs w:val="13"/>
        </w:rPr>
        <w:t>关于印发儿童青少年肥胖防控实施方案的通知</w:t>
      </w:r>
      <w:r>
        <w:rPr>
          <w:rFonts w:hint="eastAsia" w:ascii="仿宋" w:hAnsi="仿宋" w:eastAsia="仿宋" w:cs="仿宋"/>
          <w:b w:val="0"/>
          <w:bCs w:val="0"/>
          <w:sz w:val="13"/>
          <w:szCs w:val="13"/>
          <w:lang w:val="en-US" w:eastAsia="zh-CN"/>
        </w:rPr>
        <w:t xml:space="preserve"> </w:t>
      </w:r>
      <w:r>
        <w:rPr>
          <w:rFonts w:hint="eastAsia" w:ascii="仿宋" w:hAnsi="仿宋" w:eastAsia="仿宋" w:cs="仿宋"/>
          <w:b w:val="0"/>
          <w:bCs w:val="0"/>
          <w:sz w:val="13"/>
          <w:szCs w:val="13"/>
        </w:rPr>
        <w:t>国卫办疾控发〔2020〕16号</w:t>
      </w:r>
      <w:r>
        <w:rPr>
          <w:rFonts w:hint="eastAsia" w:ascii="仿宋" w:hAnsi="仿宋" w:eastAsia="仿宋" w:cs="仿宋"/>
          <w:b w:val="0"/>
          <w:bCs w:val="0"/>
          <w:sz w:val="13"/>
          <w:szCs w:val="13"/>
          <w:lang w:val="en-US" w:eastAsia="zh-CN"/>
        </w:rPr>
        <w:t>.</w:t>
      </w:r>
      <w:bookmarkEnd w:id="2"/>
    </w:p>
    <w:p>
      <w:pPr>
        <w:keepNext w:val="0"/>
        <w:keepLines w:val="0"/>
        <w:widowControl/>
        <w:numPr>
          <w:ilvl w:val="0"/>
          <w:numId w:val="3"/>
        </w:numPr>
        <w:suppressLineNumbers w:val="0"/>
        <w:ind w:left="425" w:leftChars="0" w:hanging="425" w:firstLineChars="0"/>
        <w:jc w:val="left"/>
        <w:rPr>
          <w:rFonts w:hint="eastAsia" w:ascii="仿宋" w:hAnsi="仿宋" w:eastAsia="仿宋" w:cs="仿宋"/>
          <w:b w:val="0"/>
          <w:bCs w:val="0"/>
          <w:sz w:val="13"/>
          <w:szCs w:val="13"/>
        </w:rPr>
      </w:pPr>
      <w:bookmarkStart w:id="3" w:name="_Ref27973"/>
      <w:r>
        <w:rPr>
          <w:rFonts w:hint="eastAsia" w:ascii="仿宋" w:hAnsi="仿宋" w:eastAsia="仿宋" w:cs="仿宋"/>
          <w:b w:val="0"/>
          <w:bCs w:val="0"/>
          <w:sz w:val="13"/>
          <w:szCs w:val="13"/>
          <w:lang w:val="en-US" w:eastAsia="zh-CN"/>
        </w:rPr>
        <w:t xml:space="preserve"> 国务院新闻办就《中国居民营养与慢性病状况报告(2020年)》有关情况举行发布会 2021-12-24   链接https://www.gov.cn/xinwen/2020-12/24/content_5572983.htm.</w:t>
      </w:r>
      <w:bookmarkEnd w:id="3"/>
    </w:p>
    <w:p>
      <w:pPr>
        <w:keepNext w:val="0"/>
        <w:keepLines w:val="0"/>
        <w:widowControl/>
        <w:numPr>
          <w:ilvl w:val="0"/>
          <w:numId w:val="3"/>
        </w:numPr>
        <w:suppressLineNumbers w:val="0"/>
        <w:ind w:left="425" w:leftChars="0" w:hanging="425" w:firstLineChars="0"/>
        <w:jc w:val="left"/>
        <w:rPr>
          <w:rFonts w:hint="eastAsia" w:ascii="仿宋" w:hAnsi="仿宋" w:eastAsia="仿宋" w:cs="仿宋"/>
          <w:b w:val="0"/>
          <w:bCs w:val="0"/>
          <w:sz w:val="13"/>
          <w:szCs w:val="13"/>
        </w:rPr>
      </w:pPr>
      <w:bookmarkStart w:id="4" w:name="_Ref28068"/>
      <w:r>
        <w:rPr>
          <w:rFonts w:hint="eastAsia" w:ascii="仿宋" w:hAnsi="仿宋" w:eastAsia="仿宋" w:cs="仿宋"/>
          <w:b w:val="0"/>
          <w:bCs w:val="0"/>
          <w:color w:val="000000"/>
          <w:kern w:val="0"/>
          <w:sz w:val="13"/>
          <w:szCs w:val="13"/>
          <w:lang w:val="en-US" w:eastAsia="zh-CN" w:bidi="ar"/>
        </w:rPr>
        <w:t>教育部体育卫生与艺术教育司 第八次全国学生体质与健康调研结果发布</w:t>
      </w:r>
      <w:r>
        <w:rPr>
          <w:rFonts w:hint="default" w:ascii="仿宋" w:hAnsi="仿宋" w:eastAsia="仿宋" w:cs="仿宋"/>
          <w:b w:val="0"/>
          <w:bCs w:val="0"/>
          <w:sz w:val="13"/>
          <w:szCs w:val="13"/>
          <w:lang w:val="en-US" w:eastAsia="zh-CN"/>
        </w:rPr>
        <w:t>［</w:t>
      </w:r>
      <w:r>
        <w:rPr>
          <w:rFonts w:hint="eastAsia" w:ascii="仿宋" w:hAnsi="仿宋" w:eastAsia="仿宋" w:cs="仿宋"/>
          <w:b w:val="0"/>
          <w:bCs w:val="0"/>
          <w:sz w:val="13"/>
          <w:szCs w:val="13"/>
          <w:lang w:val="en-US" w:eastAsia="zh-CN"/>
        </w:rPr>
        <w:t>J</w:t>
      </w:r>
      <w:r>
        <w:rPr>
          <w:rFonts w:hint="default" w:ascii="仿宋" w:hAnsi="仿宋" w:eastAsia="仿宋" w:cs="仿宋"/>
          <w:b w:val="0"/>
          <w:bCs w:val="0"/>
          <w:sz w:val="13"/>
          <w:szCs w:val="13"/>
          <w:lang w:val="en-US" w:eastAsia="zh-CN"/>
        </w:rPr>
        <w:t>］</w:t>
      </w:r>
      <w:r>
        <w:rPr>
          <w:rFonts w:hint="eastAsia" w:ascii="仿宋" w:hAnsi="仿宋" w:eastAsia="仿宋" w:cs="仿宋"/>
          <w:b w:val="0"/>
          <w:bCs w:val="0"/>
          <w:color w:val="000000"/>
          <w:kern w:val="0"/>
          <w:sz w:val="13"/>
          <w:szCs w:val="13"/>
          <w:lang w:val="en-US" w:eastAsia="zh-CN" w:bidi="ar"/>
        </w:rPr>
        <w:t xml:space="preserve"> 中国学校卫生2021，42（9）：1281-1282.</w:t>
      </w:r>
      <w:bookmarkEnd w:id="4"/>
    </w:p>
    <w:p>
      <w:pPr>
        <w:keepNext w:val="0"/>
        <w:keepLines w:val="0"/>
        <w:widowControl/>
        <w:numPr>
          <w:ilvl w:val="0"/>
          <w:numId w:val="3"/>
        </w:numPr>
        <w:suppressLineNumbers w:val="0"/>
        <w:ind w:left="425" w:leftChars="0" w:hanging="425" w:firstLineChars="0"/>
        <w:jc w:val="left"/>
        <w:rPr>
          <w:rFonts w:hint="eastAsia" w:ascii="仿宋" w:hAnsi="仿宋" w:eastAsia="仿宋" w:cs="仿宋"/>
          <w:b w:val="0"/>
          <w:bCs w:val="0"/>
          <w:color w:val="000000"/>
          <w:kern w:val="0"/>
          <w:sz w:val="13"/>
          <w:szCs w:val="13"/>
          <w:lang w:val="en-US" w:eastAsia="zh-CN" w:bidi="ar"/>
        </w:rPr>
      </w:pPr>
      <w:bookmarkStart w:id="5" w:name="_Ref28306"/>
      <w:r>
        <w:rPr>
          <w:rFonts w:hint="eastAsia" w:ascii="仿宋" w:hAnsi="仿宋" w:eastAsia="仿宋" w:cs="仿宋"/>
          <w:b w:val="0"/>
          <w:bCs w:val="0"/>
          <w:sz w:val="13"/>
          <w:szCs w:val="13"/>
          <w:lang w:val="en-US" w:eastAsia="zh-CN"/>
        </w:rPr>
        <w:t>张倩 中国中小学生营养与健康改善十年回顾与展望</w:t>
      </w:r>
      <w:r>
        <w:rPr>
          <w:rFonts w:hint="default" w:ascii="仿宋" w:hAnsi="仿宋" w:eastAsia="仿宋" w:cs="仿宋"/>
          <w:b w:val="0"/>
          <w:bCs w:val="0"/>
          <w:sz w:val="13"/>
          <w:szCs w:val="13"/>
          <w:lang w:val="en-US" w:eastAsia="zh-CN"/>
        </w:rPr>
        <w:t>［</w:t>
      </w:r>
      <w:r>
        <w:rPr>
          <w:rFonts w:hint="eastAsia" w:ascii="仿宋" w:hAnsi="仿宋" w:eastAsia="仿宋" w:cs="仿宋"/>
          <w:b w:val="0"/>
          <w:bCs w:val="0"/>
          <w:sz w:val="13"/>
          <w:szCs w:val="13"/>
          <w:lang w:val="en-US" w:eastAsia="zh-CN"/>
        </w:rPr>
        <w:t>J</w:t>
      </w:r>
      <w:r>
        <w:rPr>
          <w:rFonts w:hint="default" w:ascii="仿宋" w:hAnsi="仿宋" w:eastAsia="仿宋" w:cs="仿宋"/>
          <w:b w:val="0"/>
          <w:bCs w:val="0"/>
          <w:sz w:val="13"/>
          <w:szCs w:val="13"/>
          <w:lang w:val="en-US" w:eastAsia="zh-CN"/>
        </w:rPr>
        <w:t>］</w:t>
      </w:r>
      <w:r>
        <w:rPr>
          <w:rFonts w:hint="eastAsia" w:ascii="仿宋" w:hAnsi="仿宋" w:eastAsia="仿宋" w:cs="仿宋"/>
          <w:b w:val="0"/>
          <w:bCs w:val="0"/>
          <w:color w:val="000000"/>
          <w:kern w:val="0"/>
          <w:sz w:val="13"/>
          <w:szCs w:val="13"/>
          <w:lang w:val="en-US" w:eastAsia="zh-CN" w:bidi="ar"/>
        </w:rPr>
        <w:t>卫生研究 2022,51(5):696-699.</w:t>
      </w:r>
      <w:bookmarkEnd w:id="5"/>
    </w:p>
    <w:p>
      <w:pPr>
        <w:keepNext w:val="0"/>
        <w:keepLines w:val="0"/>
        <w:widowControl/>
        <w:numPr>
          <w:ilvl w:val="0"/>
          <w:numId w:val="3"/>
        </w:numPr>
        <w:suppressLineNumbers w:val="0"/>
        <w:ind w:left="425" w:leftChars="0" w:hanging="425" w:firstLineChars="0"/>
        <w:jc w:val="left"/>
        <w:rPr>
          <w:rFonts w:hint="default" w:ascii="仿宋" w:hAnsi="仿宋" w:eastAsia="仿宋" w:cs="仿宋"/>
          <w:b w:val="0"/>
          <w:bCs w:val="0"/>
          <w:color w:val="000000"/>
          <w:kern w:val="0"/>
          <w:sz w:val="13"/>
          <w:szCs w:val="13"/>
          <w:lang w:val="en-US" w:eastAsia="zh-CN" w:bidi="ar"/>
        </w:rPr>
      </w:pPr>
      <w:bookmarkStart w:id="6" w:name="_Ref28564"/>
      <w:r>
        <w:rPr>
          <w:rFonts w:hint="eastAsia" w:ascii="仿宋" w:hAnsi="仿宋" w:eastAsia="仿宋" w:cs="仿宋"/>
          <w:b w:val="0"/>
          <w:bCs w:val="0"/>
          <w:color w:val="000000"/>
          <w:kern w:val="0"/>
          <w:sz w:val="13"/>
          <w:szCs w:val="13"/>
          <w:lang w:val="en-US" w:eastAsia="zh-CN" w:bidi="ar"/>
        </w:rPr>
        <w:t>中国营养学会，中国居民膳食指南(2022)[M].北京：人民卫生出板社，2022.</w:t>
      </w:r>
      <w:bookmarkEnd w:id="6"/>
    </w:p>
    <w:p>
      <w:pPr>
        <w:keepNext w:val="0"/>
        <w:keepLines w:val="0"/>
        <w:widowControl/>
        <w:numPr>
          <w:ilvl w:val="0"/>
          <w:numId w:val="3"/>
        </w:numPr>
        <w:suppressLineNumbers w:val="0"/>
        <w:ind w:left="425" w:leftChars="0" w:hanging="425" w:firstLineChars="0"/>
        <w:jc w:val="left"/>
        <w:rPr>
          <w:rFonts w:hint="eastAsia" w:ascii="仿宋" w:hAnsi="仿宋" w:eastAsia="仿宋" w:cs="仿宋"/>
          <w:b w:val="0"/>
          <w:bCs w:val="0"/>
          <w:color w:val="000000"/>
          <w:kern w:val="0"/>
          <w:sz w:val="13"/>
          <w:szCs w:val="13"/>
          <w:lang w:val="en-US" w:eastAsia="zh-CN" w:bidi="ar"/>
        </w:rPr>
      </w:pPr>
      <w:bookmarkStart w:id="7" w:name="_Ref28571"/>
      <w:r>
        <w:rPr>
          <w:rFonts w:hint="eastAsia" w:ascii="仿宋" w:hAnsi="仿宋" w:eastAsia="仿宋" w:cs="仿宋"/>
          <w:b w:val="0"/>
          <w:bCs w:val="0"/>
          <w:color w:val="000000"/>
          <w:kern w:val="0"/>
          <w:sz w:val="13"/>
          <w:szCs w:val="13"/>
          <w:lang w:val="en-US" w:eastAsia="zh-CN" w:bidi="ar"/>
        </w:rPr>
        <w:t xml:space="preserve">张娜，朱文丽，张曼等《中国学龄儿童膳食指南(2022)》解读 </w:t>
      </w:r>
      <w:r>
        <w:rPr>
          <w:rFonts w:hint="default" w:ascii="仿宋" w:hAnsi="仿宋" w:eastAsia="仿宋" w:cs="仿宋"/>
          <w:b w:val="0"/>
          <w:bCs w:val="0"/>
          <w:color w:val="000000"/>
          <w:kern w:val="0"/>
          <w:sz w:val="13"/>
          <w:szCs w:val="13"/>
          <w:lang w:val="en-US" w:eastAsia="zh-CN" w:bidi="ar"/>
        </w:rPr>
        <w:t>［</w:t>
      </w:r>
      <w:r>
        <w:rPr>
          <w:rFonts w:hint="eastAsia" w:ascii="仿宋" w:hAnsi="仿宋" w:eastAsia="仿宋" w:cs="仿宋"/>
          <w:b w:val="0"/>
          <w:bCs w:val="0"/>
          <w:color w:val="000000"/>
          <w:kern w:val="0"/>
          <w:sz w:val="13"/>
          <w:szCs w:val="13"/>
          <w:lang w:val="en-US" w:eastAsia="zh-CN" w:bidi="ar"/>
        </w:rPr>
        <w:t>J</w:t>
      </w:r>
      <w:r>
        <w:rPr>
          <w:rFonts w:hint="default" w:ascii="仿宋" w:hAnsi="仿宋" w:eastAsia="仿宋" w:cs="仿宋"/>
          <w:b w:val="0"/>
          <w:bCs w:val="0"/>
          <w:color w:val="000000"/>
          <w:kern w:val="0"/>
          <w:sz w:val="13"/>
          <w:szCs w:val="13"/>
          <w:lang w:val="en-US" w:eastAsia="zh-CN" w:bidi="ar"/>
        </w:rPr>
        <w:t>］</w:t>
      </w:r>
      <w:r>
        <w:rPr>
          <w:rFonts w:hint="eastAsia" w:ascii="仿宋" w:hAnsi="仿宋" w:eastAsia="仿宋" w:cs="仿宋"/>
          <w:b w:val="0"/>
          <w:bCs w:val="0"/>
          <w:color w:val="000000"/>
          <w:kern w:val="0"/>
          <w:sz w:val="13"/>
          <w:szCs w:val="13"/>
          <w:lang w:val="en-US" w:eastAsia="zh-CN" w:bidi="ar"/>
        </w:rPr>
        <w:t>中国学校卫生 2022,</w:t>
      </w:r>
      <w:r>
        <w:rPr>
          <w:rFonts w:hint="default" w:ascii="仿宋" w:hAnsi="仿宋" w:eastAsia="仿宋" w:cs="仿宋"/>
          <w:b w:val="0"/>
          <w:bCs w:val="0"/>
          <w:color w:val="000000"/>
          <w:kern w:val="0"/>
          <w:sz w:val="13"/>
          <w:szCs w:val="13"/>
          <w:lang w:val="en-US" w:eastAsia="zh-CN" w:bidi="ar"/>
        </w:rPr>
        <w:t>4</w:t>
      </w:r>
      <w:r>
        <w:rPr>
          <w:rFonts w:hint="eastAsia" w:ascii="仿宋" w:hAnsi="仿宋" w:eastAsia="仿宋" w:cs="仿宋"/>
          <w:b w:val="0"/>
          <w:bCs w:val="0"/>
          <w:color w:val="000000"/>
          <w:kern w:val="0"/>
          <w:sz w:val="13"/>
          <w:szCs w:val="13"/>
          <w:lang w:val="en-US" w:eastAsia="zh-CN" w:bidi="ar"/>
        </w:rPr>
        <w:t>3(6):805-808.</w:t>
      </w:r>
      <w:bookmarkEnd w:id="7"/>
    </w:p>
    <w:p>
      <w:pPr>
        <w:keepNext w:val="0"/>
        <w:keepLines w:val="0"/>
        <w:pageBreakBefore w:val="0"/>
        <w:widowControl w:val="0"/>
        <w:kinsoku/>
        <w:wordWrap/>
        <w:overflowPunct/>
        <w:topLinePunct w:val="0"/>
        <w:autoSpaceDE/>
        <w:autoSpaceDN/>
        <w:bidi w:val="0"/>
        <w:adjustRightInd/>
        <w:snapToGrid/>
        <w:spacing w:line="600" w:lineRule="exact"/>
        <w:ind w:firstLine="440" w:firstLineChars="100"/>
        <w:jc w:val="both"/>
        <w:textAlignment w:val="auto"/>
        <w:rPr>
          <w:rFonts w:hint="eastAsia" w:ascii="华文隶书" w:hAnsi="华文隶书" w:eastAsia="华文隶书" w:cs="华文隶书"/>
          <w:b w:val="0"/>
          <w:bCs/>
          <w:sz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0B01D"/>
    <w:multiLevelType w:val="singleLevel"/>
    <w:tmpl w:val="BB20B01D"/>
    <w:lvl w:ilvl="0" w:tentative="0">
      <w:start w:val="1"/>
      <w:numFmt w:val="decimal"/>
      <w:lvlText w:val="[%1]"/>
      <w:lvlJc w:val="left"/>
      <w:pPr>
        <w:tabs>
          <w:tab w:val="left" w:pos="420"/>
        </w:tabs>
        <w:ind w:left="425" w:leftChars="0" w:hanging="425" w:firstLineChars="0"/>
      </w:pPr>
      <w:rPr>
        <w:rFonts w:hint="default"/>
      </w:rPr>
    </w:lvl>
  </w:abstractNum>
  <w:abstractNum w:abstractNumId="1">
    <w:nsid w:val="26F1E635"/>
    <w:multiLevelType w:val="singleLevel"/>
    <w:tmpl w:val="26F1E635"/>
    <w:lvl w:ilvl="0" w:tentative="0">
      <w:start w:val="5"/>
      <w:numFmt w:val="decimal"/>
      <w:suff w:val="nothing"/>
      <w:lvlText w:val="%1、"/>
      <w:lvlJc w:val="left"/>
    </w:lvl>
  </w:abstractNum>
  <w:abstractNum w:abstractNumId="2">
    <w:nsid w:val="5AE928A8"/>
    <w:multiLevelType w:val="singleLevel"/>
    <w:tmpl w:val="5AE928A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YjgxMzdmNzAyMjc2MGYyODRlMDM1OWY0MDVmMmYifQ=="/>
  </w:docVars>
  <w:rsids>
    <w:rsidRoot w:val="0351364D"/>
    <w:rsid w:val="03513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7.emf"/><Relationship Id="rId13" Type="http://schemas.openxmlformats.org/officeDocument/2006/relationships/oleObject" Target="embeddings/oleObject3.bin"/><Relationship Id="rId12" Type="http://schemas.openxmlformats.org/officeDocument/2006/relationships/image" Target="media/image6.emf"/><Relationship Id="rId11" Type="http://schemas.openxmlformats.org/officeDocument/2006/relationships/oleObject" Target="embeddings/oleObject2.bin"/><Relationship Id="rId10" Type="http://schemas.openxmlformats.org/officeDocument/2006/relationships/image" Target="media/image5.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700;&#38754;\2023&#24037;&#20316;&#27719;&#32534;&#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[2023工作汇编图表1.xlsx]营养!$A$4</c:f>
              <c:strCache>
                <c:ptCount val="1"/>
                <c:pt idx="0">
                  <c:v>占比/%</c:v>
                </c:pt>
              </c:strCache>
            </c:strRef>
          </c:tx>
          <c:spPr>
            <a:solidFill>
              <a:schemeClr val="accent2"/>
            </a:solidFill>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tx2"/>
              </a:solidFill>
              <a:ln>
                <a:solidFill>
                  <a:schemeClr val="bg1"/>
                </a:solidFill>
              </a:ln>
              <a:effectLst/>
            </c:spPr>
          </c:dPt>
          <c:dPt>
            <c:idx val="3"/>
            <c:bubble3D val="0"/>
            <c:spPr>
              <a:solidFill>
                <a:schemeClr val="accent2"/>
              </a:solidFill>
              <a:ln>
                <a:solidFill>
                  <a:schemeClr val="bg1"/>
                </a:solidFill>
              </a:ln>
              <a:effectLst/>
            </c:spPr>
          </c:dPt>
          <c:dPt>
            <c:idx val="4"/>
            <c:bubble3D val="0"/>
            <c:spPr>
              <a:solidFill>
                <a:schemeClr val="accent6"/>
              </a:solidFill>
              <a:ln>
                <a:solidFill>
                  <a:schemeClr val="bg1"/>
                </a:solidFill>
              </a:ln>
              <a:effectLst/>
            </c:spPr>
          </c:dPt>
          <c:dPt>
            <c:idx val="5"/>
            <c:bubble3D val="0"/>
            <c:spPr>
              <a:solidFill>
                <a:schemeClr val="accent2"/>
              </a:solidFill>
              <a:ln>
                <a:solidFill>
                  <a:schemeClr val="bg1"/>
                </a:solidFill>
              </a:ln>
              <a:effectLst/>
            </c:spPr>
          </c:dPt>
          <c:dPt>
            <c:idx val="6"/>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1400"/>
                      <a:t>61.07</a:t>
                    </a:r>
                    <a:r>
                      <a:rPr lang="en-US" altLang="zh-CN" sz="1400"/>
                      <a:t>%</a:t>
                    </a:r>
                    <a:r>
                      <a:t> </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8026315789474"/>
                      <c:h val="0.13125"/>
                    </c:manualLayout>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1400"/>
                      <a:t>3.23</a:t>
                    </a:r>
                    <a:r>
                      <a:rPr lang="en-US" altLang="zh-CN" sz="1400"/>
                      <a:t>%</a:t>
                    </a:r>
                    <a:r>
                      <a:rPr sz="1400"/>
                      <a:t> </a:t>
                    </a:r>
                    <a:endParaRPr sz="1400"/>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1400"/>
                      <a:t>15.9</a:t>
                    </a:r>
                    <a:r>
                      <a:rPr lang="en-US" altLang="zh-CN" sz="1400"/>
                      <a:t>%</a:t>
                    </a:r>
                    <a:r>
                      <a:t> </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1400"/>
                      <a:t>19.8</a:t>
                    </a:r>
                    <a:r>
                      <a:rPr lang="en-US" altLang="zh-CN" sz="1400"/>
                      <a:t>%</a:t>
                    </a:r>
                    <a:r>
                      <a:t> </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0.00_);[Red]\(#,##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[2023工作汇编图表1.xlsx]营养!$B$2:$H$2</c:f>
              <c:strCache>
                <c:ptCount val="7"/>
                <c:pt idx="0">
                  <c:v>正常</c:v>
                </c:pt>
                <c:pt idx="2">
                  <c:v>消瘦</c:v>
                </c:pt>
                <c:pt idx="4">
                  <c:v>超重</c:v>
                </c:pt>
                <c:pt idx="6">
                  <c:v>肥胖</c:v>
                </c:pt>
              </c:strCache>
            </c:strRef>
          </c:cat>
          <c:val>
            <c:numRef>
              <c:f>[2023工作汇编图表1.xlsx]营养!$B$4:$H$4</c:f>
              <c:numCache>
                <c:formatCode>General</c:formatCode>
                <c:ptCount val="7"/>
                <c:pt idx="0">
                  <c:v>61.07</c:v>
                </c:pt>
                <c:pt idx="2">
                  <c:v>3.23</c:v>
                </c:pt>
                <c:pt idx="4">
                  <c:v>15.9</c:v>
                </c:pt>
                <c:pt idx="6">
                  <c:v>19.8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1"/>
        <c:delete val="1"/>
      </c:legendEntry>
      <c:legendEntry>
        <c:idx val="3"/>
        <c:delete val="1"/>
      </c:legendEntry>
      <c:legendEntry>
        <c:idx val="5"/>
        <c:delete val="1"/>
      </c:legendEntry>
      <c:layout>
        <c:manualLayout>
          <c:xMode val="edge"/>
          <c:yMode val="edge"/>
          <c:x val="0.353684210526316"/>
          <c:y val="0.053240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2024-01-16T03:21:00Z</dcterms:created>
  <dc:creator>卜令国</dc:creator>
  <cp:lastModifiedBy>卜令国</cp:lastModifiedBy>
  <dcterms:modified xsi:type="dcterms:W3CDTF">2024-01-16T03:24:43Z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AD53E34066964819874A007FC6A25CB2_11</vt:lpwstr>
  </property>
</Properties>
</file>