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方正小标宋简体" w:hAnsi="方正小标宋简体" w:eastAsia="方正小标宋简体" w:cs="方正小标宋简体"/>
          <w:color w:val="auto"/>
          <w:spacing w:val="8"/>
          <w:kern w:val="0"/>
          <w:sz w:val="27"/>
          <w:szCs w:val="27"/>
          <w:bdr w:val="none" w:color="auto" w:sz="0" w:space="0"/>
          <w:shd w:val="clear" w:fill="FFFFFF"/>
          <w:lang w:val="en-US" w:eastAsia="zh-CN" w:bidi="ar"/>
        </w:rPr>
      </w:pPr>
      <w:r>
        <w:rPr>
          <w:rFonts w:hint="eastAsia" w:ascii="方正小标宋简体" w:hAnsi="方正小标宋简体" w:eastAsia="方正小标宋简体" w:cs="方正小标宋简体"/>
          <w:i w:val="0"/>
          <w:iCs w:val="0"/>
          <w:caps w:val="0"/>
          <w:spacing w:val="8"/>
          <w:sz w:val="33"/>
          <w:szCs w:val="33"/>
          <w:shd w:val="clear" w:fill="FFFFFF"/>
          <w:lang w:val="en-US" w:eastAsia="zh-CN"/>
        </w:rPr>
        <w:t>2023年度</w:t>
      </w:r>
      <w:r>
        <w:rPr>
          <w:rFonts w:hint="eastAsia" w:ascii="方正小标宋简体" w:hAnsi="方正小标宋简体" w:eastAsia="方正小标宋简体" w:cs="方正小标宋简体"/>
          <w:i w:val="0"/>
          <w:iCs w:val="0"/>
          <w:caps w:val="0"/>
          <w:spacing w:val="8"/>
          <w:sz w:val="33"/>
          <w:szCs w:val="33"/>
          <w:bdr w:val="none" w:color="auto" w:sz="0" w:space="0"/>
          <w:shd w:val="clear" w:fill="FFFFFF"/>
        </w:rPr>
        <w:t>奈曼旗“学习强国”系列评比结果</w:t>
      </w:r>
    </w:p>
    <w:p>
      <w:pPr>
        <w:keepNext w:val="0"/>
        <w:keepLines w:val="0"/>
        <w:widowControl/>
        <w:suppressLineNumbers w:val="0"/>
        <w:ind w:firstLine="572" w:firstLineChars="200"/>
        <w:jc w:val="left"/>
        <w:rPr>
          <w:color w:val="auto"/>
        </w:rPr>
      </w:pPr>
      <w:r>
        <w:rPr>
          <w:rFonts w:hint="eastAsia" w:ascii="宋体" w:hAnsi="宋体" w:eastAsia="宋体" w:cs="宋体"/>
          <w:color w:val="auto"/>
          <w:spacing w:val="8"/>
          <w:kern w:val="0"/>
          <w:sz w:val="27"/>
          <w:szCs w:val="27"/>
          <w:bdr w:val="none" w:color="auto" w:sz="0" w:space="0"/>
          <w:shd w:val="clear" w:fill="FFFFFF"/>
          <w:lang w:val="en-US" w:eastAsia="zh-CN" w:bidi="ar"/>
        </w:rPr>
        <w:t>为学好用好“学习强国”学习平台，充分发挥先进典型的模范带动</w:t>
      </w:r>
      <w:bookmarkStart w:id="0" w:name="_GoBack"/>
      <w:bookmarkEnd w:id="0"/>
      <w:r>
        <w:rPr>
          <w:rFonts w:hint="eastAsia" w:ascii="宋体" w:hAnsi="宋体" w:eastAsia="宋体" w:cs="宋体"/>
          <w:color w:val="auto"/>
          <w:spacing w:val="8"/>
          <w:kern w:val="0"/>
          <w:sz w:val="27"/>
          <w:szCs w:val="27"/>
          <w:bdr w:val="none" w:color="auto" w:sz="0" w:space="0"/>
          <w:shd w:val="clear" w:fill="FFFFFF"/>
          <w:lang w:val="en-US" w:eastAsia="zh-CN" w:bidi="ar"/>
        </w:rPr>
        <w:t>和示范引领作用，进一步激发全旗广大党员干部群众学习热情，自2020年以来，旗委宣传部开展了“学习强国”学习平台学用推广工作优秀集体和个人系列评比活动，至今已评比出“先进学习党组织”46个，“学习积极分子”20人，“学习达人”250人，“学习之星”304人，“优秀供稿员”11人。现揭晓2023年评比结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color w:val="auto"/>
          <w:spacing w:val="0"/>
          <w:sz w:val="30"/>
          <w:szCs w:val="30"/>
          <w:bdr w:val="none" w:color="auto" w:sz="0" w:space="0"/>
        </w:rPr>
      </w:pPr>
      <w:r>
        <w:rPr>
          <w:rFonts w:hint="eastAsia" w:ascii="宋体" w:hAnsi="宋体" w:eastAsia="宋体" w:cs="宋体"/>
          <w:b/>
          <w:bCs/>
          <w:color w:val="auto"/>
          <w:spacing w:val="0"/>
          <w:sz w:val="30"/>
          <w:szCs w:val="30"/>
          <w:bdr w:val="none" w:color="auto" w:sz="0" w:space="0"/>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01" w:firstLineChars="100"/>
        <w:rPr>
          <w:color w:val="auto"/>
        </w:rPr>
      </w:pPr>
      <w:r>
        <w:rPr>
          <w:rFonts w:hint="eastAsia" w:ascii="宋体" w:hAnsi="宋体" w:eastAsia="宋体" w:cs="宋体"/>
          <w:b/>
          <w:bCs/>
          <w:color w:val="auto"/>
          <w:spacing w:val="0"/>
          <w:sz w:val="30"/>
          <w:szCs w:val="30"/>
          <w:bdr w:val="none" w:color="auto" w:sz="0" w:space="0"/>
        </w:rPr>
        <w:t>2023年度“学习强国”先进学习党组织 </w:t>
      </w:r>
      <w:r>
        <w:rPr>
          <w:rFonts w:hint="eastAsia" w:ascii="宋体" w:hAnsi="宋体" w:eastAsia="宋体" w:cs="宋体"/>
          <w:b/>
          <w:bCs/>
          <w:color w:val="auto"/>
          <w:spacing w:val="0"/>
          <w:sz w:val="30"/>
          <w:szCs w:val="30"/>
          <w:bdr w:val="none" w:color="auto" w:sz="0" w:space="0"/>
        </w:rPr>
        <w:t> </w:t>
      </w:r>
    </w:p>
    <w:p>
      <w:pPr>
        <w:keepNext w:val="0"/>
        <w:keepLines w:val="0"/>
        <w:widowControl/>
        <w:suppressLineNumbers w:val="0"/>
        <w:jc w:val="left"/>
        <w:rPr>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rPr>
          <w:color w:val="auto"/>
          <w:sz w:val="0"/>
          <w:szCs w:val="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宋体" w:hAnsi="宋体" w:eastAsia="宋体" w:cs="宋体"/>
          <w:color w:val="auto"/>
          <w:spacing w:val="0"/>
          <w:sz w:val="24"/>
          <w:szCs w:val="24"/>
        </w:rPr>
      </w:pPr>
      <w:r>
        <w:rPr>
          <w:rFonts w:hint="eastAsia" w:ascii="宋体" w:hAnsi="宋体" w:eastAsia="宋体" w:cs="宋体"/>
          <w:color w:val="auto"/>
          <w:spacing w:val="0"/>
          <w:sz w:val="27"/>
          <w:szCs w:val="27"/>
          <w:bdr w:val="none" w:color="auto" w:sz="0" w:space="0"/>
          <w:shd w:val="clear" w:fill="FFFFFF"/>
        </w:rPr>
        <w:t>中共奈曼旗委员会党校学习管理组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宋体" w:hAnsi="宋体" w:eastAsia="宋体" w:cs="宋体"/>
          <w:color w:val="auto"/>
          <w:spacing w:val="0"/>
          <w:sz w:val="24"/>
          <w:szCs w:val="24"/>
        </w:rPr>
      </w:pPr>
      <w:r>
        <w:rPr>
          <w:rFonts w:hint="eastAsia" w:ascii="宋体" w:hAnsi="宋体" w:eastAsia="宋体" w:cs="宋体"/>
          <w:color w:val="auto"/>
          <w:spacing w:val="0"/>
          <w:sz w:val="27"/>
          <w:szCs w:val="27"/>
          <w:bdr w:val="none" w:color="auto" w:sz="0" w:space="0"/>
          <w:shd w:val="clear" w:fill="FFFFFF"/>
        </w:rPr>
        <w:t>中共奈曼旗教育体育系统委员会学习管理组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宋体" w:hAnsi="宋体" w:eastAsia="宋体" w:cs="宋体"/>
          <w:color w:val="auto"/>
          <w:spacing w:val="0"/>
          <w:sz w:val="24"/>
          <w:szCs w:val="24"/>
        </w:rPr>
      </w:pPr>
      <w:r>
        <w:rPr>
          <w:rFonts w:hint="eastAsia" w:ascii="宋体" w:hAnsi="宋体" w:eastAsia="宋体" w:cs="宋体"/>
          <w:color w:val="auto"/>
          <w:spacing w:val="0"/>
          <w:sz w:val="27"/>
          <w:szCs w:val="27"/>
          <w:bdr w:val="none" w:color="auto" w:sz="0" w:space="0"/>
          <w:shd w:val="clear" w:fill="FFFFFF"/>
        </w:rPr>
        <w:t>中共奈曼旗文化和旅游系统委员会学习管理组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宋体" w:hAnsi="宋体" w:eastAsia="宋体" w:cs="宋体"/>
          <w:color w:val="auto"/>
          <w:spacing w:val="0"/>
          <w:sz w:val="24"/>
          <w:szCs w:val="24"/>
        </w:rPr>
      </w:pPr>
      <w:r>
        <w:rPr>
          <w:rFonts w:hint="eastAsia" w:ascii="宋体" w:hAnsi="宋体" w:eastAsia="宋体" w:cs="宋体"/>
          <w:color w:val="auto"/>
          <w:spacing w:val="0"/>
          <w:sz w:val="27"/>
          <w:szCs w:val="27"/>
          <w:bdr w:val="none" w:color="auto" w:sz="0" w:space="0"/>
          <w:shd w:val="clear" w:fill="FFFFFF"/>
        </w:rPr>
        <w:t>奈曼旗自然公园管护中心学习管理组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宋体" w:hAnsi="宋体" w:eastAsia="宋体" w:cs="宋体"/>
          <w:color w:val="auto"/>
          <w:spacing w:val="0"/>
          <w:sz w:val="24"/>
          <w:szCs w:val="24"/>
        </w:rPr>
      </w:pPr>
      <w:r>
        <w:rPr>
          <w:rFonts w:hint="eastAsia" w:ascii="宋体" w:hAnsi="宋体" w:eastAsia="宋体" w:cs="宋体"/>
          <w:color w:val="auto"/>
          <w:spacing w:val="0"/>
          <w:sz w:val="27"/>
          <w:szCs w:val="27"/>
          <w:bdr w:val="none" w:color="auto" w:sz="0" w:space="0"/>
          <w:shd w:val="clear" w:fill="FFFFFF"/>
        </w:rPr>
        <w:t>奈曼旗烟草专卖局(营销部)学习管理组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宋体" w:hAnsi="宋体" w:eastAsia="宋体" w:cs="宋体"/>
          <w:color w:val="auto"/>
          <w:spacing w:val="0"/>
          <w:sz w:val="24"/>
          <w:szCs w:val="24"/>
        </w:rPr>
      </w:pPr>
      <w:r>
        <w:rPr>
          <w:rFonts w:hint="eastAsia" w:ascii="宋体" w:hAnsi="宋体" w:eastAsia="宋体" w:cs="宋体"/>
          <w:color w:val="auto"/>
          <w:spacing w:val="0"/>
          <w:sz w:val="27"/>
          <w:szCs w:val="27"/>
          <w:bdr w:val="none" w:color="auto" w:sz="0" w:space="0"/>
          <w:shd w:val="clear" w:fill="FFFFFF"/>
        </w:rPr>
        <w:t>中共奈曼旗委员会宣传部学习管理组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宋体" w:hAnsi="宋体" w:eastAsia="宋体" w:cs="宋体"/>
          <w:color w:val="auto"/>
          <w:spacing w:val="0"/>
          <w:sz w:val="24"/>
          <w:szCs w:val="24"/>
        </w:rPr>
      </w:pPr>
      <w:r>
        <w:rPr>
          <w:rFonts w:hint="eastAsia" w:ascii="宋体" w:hAnsi="宋体" w:eastAsia="宋体" w:cs="宋体"/>
          <w:color w:val="auto"/>
          <w:spacing w:val="0"/>
          <w:sz w:val="27"/>
          <w:szCs w:val="27"/>
          <w:bdr w:val="none" w:color="auto" w:sz="0" w:space="0"/>
          <w:shd w:val="clear" w:fill="FFFFFF"/>
        </w:rPr>
        <w:t>中共奈曼旗大沁他拉街道工作委员会学习管理组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宋体" w:hAnsi="宋体" w:eastAsia="宋体" w:cs="宋体"/>
          <w:color w:val="auto"/>
          <w:spacing w:val="0"/>
          <w:sz w:val="24"/>
          <w:szCs w:val="24"/>
        </w:rPr>
      </w:pPr>
      <w:r>
        <w:rPr>
          <w:rFonts w:hint="eastAsia" w:ascii="宋体" w:hAnsi="宋体" w:eastAsia="宋体" w:cs="宋体"/>
          <w:color w:val="auto"/>
          <w:spacing w:val="0"/>
          <w:sz w:val="27"/>
          <w:szCs w:val="27"/>
          <w:bdr w:val="none" w:color="auto" w:sz="0" w:space="0"/>
          <w:shd w:val="clear" w:fill="FFFFFF"/>
        </w:rPr>
        <w:t>中共奈曼旗白音他拉苏木委员会学习管理组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宋体" w:hAnsi="宋体" w:eastAsia="宋体" w:cs="宋体"/>
          <w:color w:val="auto"/>
          <w:spacing w:val="0"/>
          <w:sz w:val="24"/>
          <w:szCs w:val="24"/>
        </w:rPr>
      </w:pPr>
      <w:r>
        <w:rPr>
          <w:rFonts w:hint="eastAsia" w:ascii="宋体" w:hAnsi="宋体" w:eastAsia="宋体" w:cs="宋体"/>
          <w:color w:val="auto"/>
          <w:spacing w:val="0"/>
          <w:sz w:val="27"/>
          <w:szCs w:val="27"/>
          <w:bdr w:val="none" w:color="auto" w:sz="0" w:space="0"/>
          <w:shd w:val="clear" w:fill="FFFFFF"/>
        </w:rPr>
        <w:t>中共奈曼旗苇莲苏乡委员会学习管理组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宋体" w:hAnsi="宋体" w:eastAsia="宋体" w:cs="宋体"/>
          <w:i w:val="0"/>
          <w:iCs w:val="0"/>
          <w:caps w:val="0"/>
          <w:color w:val="auto"/>
          <w:spacing w:val="0"/>
          <w:sz w:val="24"/>
          <w:szCs w:val="24"/>
        </w:rPr>
      </w:pPr>
      <w:r>
        <w:rPr>
          <w:rFonts w:hint="eastAsia" w:ascii="宋体" w:hAnsi="宋体" w:eastAsia="宋体" w:cs="宋体"/>
          <w:color w:val="auto"/>
          <w:spacing w:val="0"/>
          <w:sz w:val="27"/>
          <w:szCs w:val="27"/>
          <w:bdr w:val="none" w:color="auto" w:sz="0" w:space="0"/>
          <w:shd w:val="clear" w:fill="FFFFFF"/>
        </w:rPr>
        <w:t>中共奈曼旗明仁苏木委员会学习管理组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rPr>
      </w:pPr>
      <w:r>
        <w:rPr>
          <w:rFonts w:hint="eastAsia" w:ascii="宋体" w:hAnsi="宋体" w:eastAsia="宋体" w:cs="宋体"/>
          <w:b/>
          <w:bCs/>
          <w:color w:val="auto"/>
          <w:spacing w:val="0"/>
          <w:sz w:val="30"/>
          <w:szCs w:val="30"/>
          <w:bdr w:val="none" w:color="auto" w:sz="0" w:space="0"/>
        </w:rPr>
        <w:t>2023年度奈曼旗“学习强国”积极分子</w:t>
      </w:r>
      <w:r>
        <w:rPr>
          <w:rFonts w:hint="eastAsia" w:ascii="宋体" w:hAnsi="宋体" w:eastAsia="宋体" w:cs="宋体"/>
          <w:b/>
          <w:bCs/>
          <w:color w:val="auto"/>
          <w:spacing w:val="0"/>
          <w:sz w:val="30"/>
          <w:szCs w:val="30"/>
          <w:bdr w:val="none" w:color="auto" w:sz="0" w:space="0"/>
        </w:rPr>
        <w:br w:type="textWrapping"/>
      </w:r>
      <w:r>
        <w:rPr>
          <w:rFonts w:hint="eastAsia" w:ascii="宋体" w:hAnsi="宋体" w:eastAsia="宋体" w:cs="宋体"/>
          <w:b/>
          <w:bCs/>
          <w:color w:val="auto"/>
          <w:spacing w:val="0"/>
          <w:sz w:val="18"/>
          <w:szCs w:val="18"/>
          <w:bdr w:val="none" w:color="auto" w:sz="0" w:space="0"/>
        </w:rPr>
        <w:t>（注：截止到2023年12月26日总积分84047分以上）</w:t>
      </w:r>
    </w:p>
    <w:p>
      <w:pPr>
        <w:keepNext w:val="0"/>
        <w:keepLines w:val="0"/>
        <w:widowControl/>
        <w:suppressLineNumbers w:val="0"/>
        <w:jc w:val="left"/>
        <w:rPr>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ascii="Microsoft YaHei UI" w:hAnsi="Microsoft YaHei UI" w:eastAsia="Microsoft YaHei UI" w:cs="Microsoft YaHei UI"/>
          <w:i w:val="0"/>
          <w:iCs w:val="0"/>
          <w:caps w:val="0"/>
          <w:color w:val="auto"/>
          <w:spacing w:val="8"/>
          <w:sz w:val="25"/>
          <w:szCs w:val="25"/>
        </w:rPr>
      </w:pPr>
      <w:r>
        <w:rPr>
          <w:rFonts w:hint="eastAsia" w:ascii="Microsoft YaHei UI" w:hAnsi="Microsoft YaHei UI" w:eastAsia="Microsoft YaHei UI" w:cs="Microsoft YaHei UI"/>
          <w:i w:val="0"/>
          <w:iCs w:val="0"/>
          <w:caps w:val="0"/>
          <w:color w:val="auto"/>
          <w:spacing w:val="8"/>
          <w:sz w:val="25"/>
          <w:szCs w:val="25"/>
          <w:bdr w:val="none" w:color="auto" w:sz="0" w:space="0"/>
          <w:shd w:val="clear" w:fill="FFFFFF"/>
        </w:rPr>
        <w:drawing>
          <wp:inline distT="0" distB="0" distL="114300" distR="114300">
            <wp:extent cx="5000625" cy="7143750"/>
            <wp:effectExtent l="0" t="0" r="9525"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5000625" cy="71437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i w:val="0"/>
          <w:iCs w:val="0"/>
          <w:caps w:val="0"/>
          <w:color w:val="auto"/>
          <w:spacing w:val="0"/>
          <w:sz w:val="24"/>
          <w:szCs w:val="24"/>
        </w:rPr>
      </w:pPr>
      <w:r>
        <w:rPr>
          <w:rFonts w:hint="eastAsia" w:ascii="宋体" w:hAnsi="宋体" w:eastAsia="宋体" w:cs="宋体"/>
          <w:b/>
          <w:bCs/>
          <w:color w:val="auto"/>
          <w:spacing w:val="0"/>
          <w:sz w:val="30"/>
          <w:szCs w:val="30"/>
          <w:bdr w:val="none" w:color="auto" w:sz="0" w:space="0"/>
        </w:rPr>
        <w:t>2023年度奈曼旗“学习强国”学习达人（年度积分）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color w:val="auto"/>
          <w:spacing w:val="8"/>
          <w:sz w:val="25"/>
          <w:szCs w:val="25"/>
        </w:rPr>
      </w:pPr>
      <w:r>
        <w:rPr>
          <w:rFonts w:hint="eastAsia" w:ascii="Microsoft YaHei UI" w:hAnsi="Microsoft YaHei UI" w:eastAsia="Microsoft YaHei UI" w:cs="Microsoft YaHei UI"/>
          <w:i w:val="0"/>
          <w:iCs w:val="0"/>
          <w:caps w:val="0"/>
          <w:color w:val="auto"/>
          <w:spacing w:val="8"/>
          <w:sz w:val="25"/>
          <w:szCs w:val="25"/>
          <w:bdr w:val="none" w:color="auto" w:sz="0" w:space="0"/>
          <w:shd w:val="clear" w:fill="FFFFFF"/>
        </w:rPr>
        <w:drawing>
          <wp:inline distT="0" distB="0" distL="114300" distR="114300">
            <wp:extent cx="5181600" cy="7010400"/>
            <wp:effectExtent l="0" t="0" r="0" b="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6"/>
                    <a:stretch>
                      <a:fillRect/>
                    </a:stretch>
                  </pic:blipFill>
                  <pic:spPr>
                    <a:xfrm>
                      <a:off x="0" y="0"/>
                      <a:ext cx="5181600" cy="70104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color w:val="auto"/>
          <w:spacing w:val="8"/>
          <w:sz w:val="25"/>
          <w:szCs w:val="25"/>
        </w:rPr>
      </w:pPr>
      <w:r>
        <w:rPr>
          <w:rFonts w:hint="eastAsia" w:ascii="Microsoft YaHei UI" w:hAnsi="Microsoft YaHei UI" w:eastAsia="Microsoft YaHei UI" w:cs="Microsoft YaHei UI"/>
          <w:i w:val="0"/>
          <w:iCs w:val="0"/>
          <w:caps w:val="0"/>
          <w:color w:val="auto"/>
          <w:spacing w:val="8"/>
          <w:sz w:val="25"/>
          <w:szCs w:val="25"/>
          <w:bdr w:val="none" w:color="auto" w:sz="0" w:space="0"/>
          <w:shd w:val="clear" w:fill="FFFFFF"/>
        </w:rPr>
        <w:drawing>
          <wp:inline distT="0" distB="0" distL="114300" distR="114300">
            <wp:extent cx="5286375" cy="6029325"/>
            <wp:effectExtent l="0" t="0" r="9525" b="952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7"/>
                    <a:stretch>
                      <a:fillRect/>
                    </a:stretch>
                  </pic:blipFill>
                  <pic:spPr>
                    <a:xfrm>
                      <a:off x="0" y="0"/>
                      <a:ext cx="5286375" cy="60293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color w:val="auto"/>
          <w:spacing w:val="0"/>
          <w:sz w:val="30"/>
          <w:szCs w:val="30"/>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color w:val="auto"/>
          <w:spacing w:val="0"/>
          <w:sz w:val="30"/>
          <w:szCs w:val="30"/>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color w:val="auto"/>
          <w:spacing w:val="0"/>
          <w:sz w:val="30"/>
          <w:szCs w:val="30"/>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color w:val="auto"/>
          <w:spacing w:val="0"/>
          <w:sz w:val="30"/>
          <w:szCs w:val="30"/>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rPr>
      </w:pPr>
      <w:r>
        <w:rPr>
          <w:rFonts w:hint="eastAsia" w:ascii="宋体" w:hAnsi="宋体" w:eastAsia="宋体" w:cs="宋体"/>
          <w:b/>
          <w:bCs/>
          <w:color w:val="auto"/>
          <w:spacing w:val="0"/>
          <w:sz w:val="30"/>
          <w:szCs w:val="30"/>
          <w:bdr w:val="none" w:color="auto" w:sz="0" w:space="0"/>
        </w:rPr>
        <w:t>2023年度奈曼旗“学习强国”学习之星（季度积分）</w:t>
      </w:r>
    </w:p>
    <w:p>
      <w:pPr>
        <w:keepNext w:val="0"/>
        <w:keepLines w:val="0"/>
        <w:widowControl/>
        <w:suppressLineNumbers w:val="0"/>
        <w:jc w:val="left"/>
        <w:rPr>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color w:val="auto"/>
          <w:spacing w:val="8"/>
          <w:sz w:val="25"/>
          <w:szCs w:val="25"/>
        </w:rPr>
      </w:pPr>
      <w:r>
        <w:rPr>
          <w:rFonts w:hint="eastAsia" w:ascii="Microsoft YaHei UI" w:hAnsi="Microsoft YaHei UI" w:eastAsia="Microsoft YaHei UI" w:cs="Microsoft YaHei UI"/>
          <w:i w:val="0"/>
          <w:iCs w:val="0"/>
          <w:caps w:val="0"/>
          <w:color w:val="auto"/>
          <w:spacing w:val="8"/>
          <w:sz w:val="25"/>
          <w:szCs w:val="25"/>
          <w:bdr w:val="none" w:color="auto" w:sz="0" w:space="0"/>
          <w:shd w:val="clear" w:fill="FFFFFF"/>
        </w:rPr>
        <w:drawing>
          <wp:inline distT="0" distB="0" distL="114300" distR="114300">
            <wp:extent cx="5200650" cy="691515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8"/>
                    <a:stretch>
                      <a:fillRect/>
                    </a:stretch>
                  </pic:blipFill>
                  <pic:spPr>
                    <a:xfrm>
                      <a:off x="0" y="0"/>
                      <a:ext cx="5200650" cy="69151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color w:val="auto"/>
          <w:spacing w:val="8"/>
          <w:sz w:val="25"/>
          <w:szCs w:val="25"/>
        </w:rPr>
      </w:pPr>
      <w:r>
        <w:rPr>
          <w:rFonts w:hint="eastAsia" w:ascii="Microsoft YaHei UI" w:hAnsi="Microsoft YaHei UI" w:eastAsia="Microsoft YaHei UI" w:cs="Microsoft YaHei UI"/>
          <w:i w:val="0"/>
          <w:iCs w:val="0"/>
          <w:caps w:val="0"/>
          <w:color w:val="auto"/>
          <w:spacing w:val="8"/>
          <w:sz w:val="25"/>
          <w:szCs w:val="25"/>
          <w:bdr w:val="none" w:color="auto" w:sz="0" w:space="0"/>
          <w:shd w:val="clear" w:fill="FFFFFF"/>
        </w:rPr>
        <w:drawing>
          <wp:inline distT="0" distB="0" distL="114300" distR="114300">
            <wp:extent cx="5553075" cy="6915150"/>
            <wp:effectExtent l="0" t="0" r="9525" b="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9"/>
                    <a:stretch>
                      <a:fillRect/>
                    </a:stretch>
                  </pic:blipFill>
                  <pic:spPr>
                    <a:xfrm>
                      <a:off x="0" y="0"/>
                      <a:ext cx="5553075" cy="69151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color w:val="auto"/>
          <w:spacing w:val="8"/>
          <w:sz w:val="25"/>
          <w:szCs w:val="25"/>
        </w:rPr>
      </w:pPr>
      <w:r>
        <w:rPr>
          <w:rFonts w:hint="eastAsia" w:ascii="Microsoft YaHei UI" w:hAnsi="Microsoft YaHei UI" w:eastAsia="Microsoft YaHei UI" w:cs="Microsoft YaHei UI"/>
          <w:i w:val="0"/>
          <w:iCs w:val="0"/>
          <w:caps w:val="0"/>
          <w:color w:val="auto"/>
          <w:spacing w:val="8"/>
          <w:sz w:val="25"/>
          <w:szCs w:val="25"/>
          <w:bdr w:val="none" w:color="auto" w:sz="0" w:space="0"/>
          <w:shd w:val="clear" w:fill="FFFFFF"/>
        </w:rPr>
        <w:drawing>
          <wp:inline distT="0" distB="0" distL="114300" distR="114300">
            <wp:extent cx="5372100" cy="6924675"/>
            <wp:effectExtent l="0" t="0" r="0" b="9525"/>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10"/>
                    <a:stretch>
                      <a:fillRect/>
                    </a:stretch>
                  </pic:blipFill>
                  <pic:spPr>
                    <a:xfrm>
                      <a:off x="0" y="0"/>
                      <a:ext cx="5372100" cy="69246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color w:val="auto"/>
          <w:spacing w:val="8"/>
          <w:sz w:val="25"/>
          <w:szCs w:val="25"/>
        </w:rPr>
      </w:pPr>
      <w:r>
        <w:rPr>
          <w:rFonts w:hint="eastAsia" w:ascii="Microsoft YaHei UI" w:hAnsi="Microsoft YaHei UI" w:eastAsia="Microsoft YaHei UI" w:cs="Microsoft YaHei UI"/>
          <w:i w:val="0"/>
          <w:iCs w:val="0"/>
          <w:caps w:val="0"/>
          <w:color w:val="auto"/>
          <w:spacing w:val="8"/>
          <w:sz w:val="25"/>
          <w:szCs w:val="25"/>
          <w:bdr w:val="none" w:color="auto" w:sz="0" w:space="0"/>
          <w:shd w:val="clear" w:fill="FFFFFF"/>
        </w:rPr>
        <w:drawing>
          <wp:inline distT="0" distB="0" distL="114300" distR="114300">
            <wp:extent cx="5486400" cy="6867525"/>
            <wp:effectExtent l="0" t="0" r="0" b="9525"/>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1"/>
                    <a:stretch>
                      <a:fillRect/>
                    </a:stretch>
                  </pic:blipFill>
                  <pic:spPr>
                    <a:xfrm>
                      <a:off x="0" y="0"/>
                      <a:ext cx="5486400" cy="68675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color w:val="auto"/>
          <w:spacing w:val="0"/>
          <w:sz w:val="30"/>
          <w:szCs w:val="30"/>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color w:val="auto"/>
          <w:spacing w:val="0"/>
          <w:sz w:val="30"/>
          <w:szCs w:val="30"/>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rPr>
      </w:pPr>
      <w:r>
        <w:rPr>
          <w:rFonts w:hint="eastAsia" w:ascii="宋体" w:hAnsi="宋体" w:eastAsia="宋体" w:cs="宋体"/>
          <w:b/>
          <w:bCs/>
          <w:color w:val="auto"/>
          <w:spacing w:val="0"/>
          <w:sz w:val="30"/>
          <w:szCs w:val="30"/>
          <w:bdr w:val="none" w:color="auto" w:sz="0" w:space="0"/>
        </w:rPr>
        <w:t>2023年度“学习强国”优秀供稿员</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rPr>
      </w:pPr>
      <w:r>
        <w:rPr>
          <w:rStyle w:val="8"/>
          <w:rFonts w:hint="eastAsia" w:ascii="宋体" w:hAnsi="宋体" w:eastAsia="宋体" w:cs="宋体"/>
          <w:color w:val="auto"/>
          <w:spacing w:val="8"/>
          <w:sz w:val="27"/>
          <w:szCs w:val="27"/>
          <w:bdr w:val="none" w:color="auto" w:sz="0" w:space="0"/>
          <w:shd w:val="clear" w:fill="FFFFFF"/>
        </w:rPr>
        <w:t>王阳  宋小伟  孟来  杨悦 </w:t>
      </w:r>
    </w:p>
    <w:p>
      <w:pPr>
        <w:keepNext w:val="0"/>
        <w:keepLines w:val="0"/>
        <w:widowControl/>
        <w:suppressLineNumbers w:val="0"/>
        <w:jc w:val="left"/>
        <w:rPr>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8"/>
          <w:sz w:val="24"/>
          <w:szCs w:val="24"/>
        </w:rPr>
      </w:pPr>
      <w:r>
        <w:rPr>
          <w:rFonts w:hint="eastAsia" w:ascii="宋体" w:hAnsi="宋体" w:eastAsia="宋体" w:cs="宋体"/>
          <w:i w:val="0"/>
          <w:iCs w:val="0"/>
          <w:caps w:val="0"/>
          <w:color w:val="auto"/>
          <w:spacing w:val="8"/>
          <w:sz w:val="27"/>
          <w:szCs w:val="27"/>
          <w:bdr w:val="none" w:color="auto" w:sz="0" w:space="0"/>
          <w:shd w:val="clear" w:fill="FFFFFF"/>
        </w:rPr>
        <w:t>成绩代表过去，努力成就未来！希望以上单位和个人认真总结学习经验和做法，在以后的学习中争取更大进步。使“学习强国”学习平台真正成为全旗广大党员干部群众学习宣传贯彻习近平新时代中国特色社会主义思想的重要载体，推动全旗“学习强国”学习工作再上新台阶、再获新成效。</w:t>
      </w:r>
    </w:p>
    <w:p>
      <w:pPr>
        <w:rPr>
          <w:color w:val="auto"/>
        </w:rPr>
      </w:pP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right"/>
        <w:rPr>
          <w:rFonts w:hint="eastAsia" w:ascii="宋体" w:hAnsi="宋体" w:eastAsia="宋体" w:cs="宋体"/>
          <w:i w:val="0"/>
          <w:iCs w:val="0"/>
          <w:caps w:val="0"/>
          <w:color w:val="auto"/>
          <w:spacing w:val="8"/>
          <w:sz w:val="27"/>
          <w:szCs w:val="27"/>
          <w:shd w:val="clear" w:fill="FFFFFF"/>
        </w:rPr>
      </w:pPr>
      <w:r>
        <w:rPr>
          <w:rFonts w:hint="eastAsia" w:ascii="宋体" w:hAnsi="宋体" w:eastAsia="宋体" w:cs="宋体"/>
          <w:i w:val="0"/>
          <w:iCs w:val="0"/>
          <w:caps w:val="0"/>
          <w:color w:val="auto"/>
          <w:spacing w:val="8"/>
          <w:sz w:val="27"/>
          <w:szCs w:val="27"/>
          <w:shd w:val="clear" w:fill="FFFFFF"/>
        </w:rPr>
        <w:t>编辑：穆春丽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right"/>
        <w:rPr>
          <w:rFonts w:hint="eastAsia" w:ascii="宋体" w:hAnsi="宋体" w:eastAsia="宋体" w:cs="宋体"/>
          <w:i w:val="0"/>
          <w:iCs w:val="0"/>
          <w:caps w:val="0"/>
          <w:color w:val="auto"/>
          <w:spacing w:val="8"/>
          <w:sz w:val="27"/>
          <w:szCs w:val="27"/>
          <w:shd w:val="clear" w:fill="FFFFFF"/>
        </w:rPr>
      </w:pPr>
      <w:r>
        <w:rPr>
          <w:rFonts w:hint="eastAsia" w:ascii="宋体" w:hAnsi="宋体" w:eastAsia="宋体" w:cs="宋体"/>
          <w:i w:val="0"/>
          <w:iCs w:val="0"/>
          <w:caps w:val="0"/>
          <w:color w:val="auto"/>
          <w:spacing w:val="8"/>
          <w:sz w:val="27"/>
          <w:szCs w:val="27"/>
          <w:shd w:val="clear" w:fill="FFFFFF"/>
        </w:rPr>
        <w:t>审核：冯舒楠</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right"/>
        <w:rPr>
          <w:rFonts w:hint="eastAsia" w:ascii="宋体" w:hAnsi="宋体" w:eastAsia="宋体" w:cs="宋体"/>
          <w:i w:val="0"/>
          <w:iCs w:val="0"/>
          <w:caps w:val="0"/>
          <w:color w:val="auto"/>
          <w:spacing w:val="8"/>
          <w:sz w:val="27"/>
          <w:szCs w:val="27"/>
          <w:shd w:val="clear" w:fill="FFFFFF"/>
        </w:rPr>
      </w:pPr>
      <w:r>
        <w:rPr>
          <w:rFonts w:hint="eastAsia" w:ascii="宋体" w:hAnsi="宋体" w:eastAsia="宋体" w:cs="宋体"/>
          <w:i w:val="0"/>
          <w:iCs w:val="0"/>
          <w:caps w:val="0"/>
          <w:color w:val="auto"/>
          <w:spacing w:val="8"/>
          <w:sz w:val="27"/>
          <w:szCs w:val="27"/>
          <w:shd w:val="clear" w:fill="FFFFFF"/>
        </w:rPr>
        <w:t>终审：韩福泽</w:t>
      </w:r>
    </w:p>
    <w:p>
      <w:pPr>
        <w:tabs>
          <w:tab w:val="left" w:pos="5658"/>
        </w:tabs>
        <w:bidi w:val="0"/>
        <w:jc w:val="right"/>
        <w:rPr>
          <w:lang w:val="en-US" w:eastAsia="zh-CN"/>
        </w:rPr>
      </w:pPr>
    </w:p>
    <w:sectPr>
      <w:footerReference r:id="rId3" w:type="default"/>
      <w:pgSz w:w="11906" w:h="16838"/>
      <w:pgMar w:top="2098" w:right="1474" w:bottom="1871"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方正黑体简体">
    <w:panose1 w:val="02010601030101010101"/>
    <w:charset w:val="86"/>
    <w:family w:val="auto"/>
    <w:pitch w:val="default"/>
    <w:sig w:usb0="00000001" w:usb1="080E0000" w:usb2="00000000" w:usb3="00000000" w:csb0="00040000" w:csb1="00000000"/>
  </w:font>
  <w:font w:name="方正苏新诗柳楷简体">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jMmZlN2JkNmVhNWE1NjM4NDlmYzM3NTMzZjk1YjIifQ=="/>
  </w:docVars>
  <w:rsids>
    <w:rsidRoot w:val="03475621"/>
    <w:rsid w:val="03475621"/>
    <w:rsid w:val="2EC92D50"/>
    <w:rsid w:val="3D1B73AB"/>
    <w:rsid w:val="45245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2024-01-16T07:31:00Z</dcterms:created>
  <dc:creator>静然つ</dc:creator>
  <cp:lastModifiedBy>静然つ</cp:lastModifiedBy>
  <dcterms:modified xsi:type="dcterms:W3CDTF">2024-01-16T07:37:02Z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38782B19A2FF4211BC2A5FF5FACC5760_11</vt:lpwstr>
  </property>
</Properties>
</file>