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华文仿宋" w:hAnsi="华文仿宋" w:eastAsia="华文仿宋" w:cs="华文仿宋"/>
          <w:b/>
          <w:bCs/>
          <w:sz w:val="44"/>
          <w:szCs w:val="44"/>
          <w:lang w:val="en-US" w:eastAsia="zh-CN"/>
        </w:rPr>
      </w:pPr>
      <w:r>
        <w:rPr>
          <w:rFonts w:hint="eastAsia" w:ascii="华文仿宋" w:hAnsi="华文仿宋" w:eastAsia="华文仿宋" w:cs="华文仿宋"/>
          <w:b/>
          <w:bCs/>
          <w:sz w:val="44"/>
          <w:szCs w:val="44"/>
          <w:lang w:val="en-US" w:eastAsia="zh-CN"/>
        </w:rPr>
        <w:t>东明镇综合行政执法局2023年工作总结和2024年工作安排</w:t>
      </w:r>
    </w:p>
    <w:p>
      <w:pPr>
        <w:keepNext w:val="0"/>
        <w:keepLines w:val="0"/>
        <w:pageBreakBefore w:val="0"/>
        <w:kinsoku/>
        <w:wordWrap/>
        <w:overflowPunct/>
        <w:topLinePunct w:val="0"/>
        <w:autoSpaceDE/>
        <w:autoSpaceDN/>
        <w:bidi w:val="0"/>
        <w:adjustRightInd/>
        <w:snapToGrid/>
        <w:spacing w:line="560" w:lineRule="exact"/>
        <w:jc w:val="center"/>
        <w:textAlignment w:val="auto"/>
        <w:rPr>
          <w:rFonts w:ascii="黑体" w:hAnsi="黑体" w:eastAsia="黑体"/>
          <w:sz w:val="44"/>
          <w:szCs w:val="44"/>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2023年来，</w:t>
      </w:r>
      <w:r>
        <w:rPr>
          <w:rFonts w:hint="eastAsia" w:ascii="仿宋_GB2312" w:hAnsi="仿宋_GB2312" w:eastAsia="仿宋_GB2312" w:cs="仿宋_GB2312"/>
          <w:sz w:val="32"/>
          <w:szCs w:val="32"/>
        </w:rPr>
        <w:t>在镇党委、政府的正确领导下，东明镇综合行政执法局</w:t>
      </w:r>
      <w:r>
        <w:rPr>
          <w:rFonts w:hint="eastAsia" w:ascii="仿宋_GB2312" w:hAnsi="仿宋_GB2312" w:eastAsia="仿宋_GB2312" w:cs="仿宋_GB2312"/>
          <w:sz w:val="32"/>
          <w:szCs w:val="32"/>
          <w:lang w:val="en-US" w:eastAsia="zh-CN"/>
        </w:rPr>
        <w:t>通过全体职员的共同努力，与时俱进、求真务实的工作思路推进我局工作的开展，圆满完成了上级交办的各项任务。为明确今后工作的努力方向、更好的开展和促进工作。现将今年的工作做如下总结，并对下一步的工作做简要部署：</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工作总结</w:t>
      </w:r>
    </w:p>
    <w:p>
      <w:pPr>
        <w:keepNext w:val="0"/>
        <w:keepLines w:val="0"/>
        <w:pageBreakBefore w:val="0"/>
        <w:numPr>
          <w:numId w:val="0"/>
        </w:numPr>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1、环境卫生工作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重点加强我镇辖区内市场及国道111线道路沿线两侧环境秩序管理力度，大力治理私设广告牌、占道经营、和影响市容秩序等行为，开展</w:t>
      </w:r>
      <w:r>
        <w:rPr>
          <w:rFonts w:hint="eastAsia" w:ascii="仿宋_GB2312" w:hAnsi="仿宋_GB2312" w:eastAsia="仿宋_GB2312" w:cs="仿宋_GB2312"/>
          <w:b/>
          <w:bCs/>
          <w:sz w:val="32"/>
          <w:szCs w:val="32"/>
        </w:rPr>
        <w:t>市容秩序整治和市容环境提升</w:t>
      </w:r>
      <w:r>
        <w:rPr>
          <w:rFonts w:hint="eastAsia" w:ascii="仿宋_GB2312" w:hAnsi="仿宋_GB2312" w:eastAsia="仿宋_GB2312" w:cs="仿宋_GB2312"/>
          <w:b/>
          <w:bCs/>
          <w:sz w:val="32"/>
          <w:szCs w:val="32"/>
          <w:lang w:val="en-US" w:eastAsia="zh-CN"/>
        </w:rPr>
        <w:t>行动。</w:t>
      </w:r>
      <w:r>
        <w:rPr>
          <w:rFonts w:hint="eastAsia" w:ascii="仿宋_GB2312" w:hAnsi="仿宋_GB2312" w:eastAsia="仿宋_GB2312" w:cs="仿宋_GB2312"/>
          <w:sz w:val="32"/>
          <w:szCs w:val="32"/>
        </w:rPr>
        <w:t>多措并举整治广告牌匾，下达《限期拆除告知书》42份，</w:t>
      </w:r>
      <w:r>
        <w:rPr>
          <w:rFonts w:hint="eastAsia" w:ascii="仿宋_GB2312" w:hAnsi="仿宋_GB2312" w:eastAsia="仿宋_GB2312" w:cs="仿宋_GB2312"/>
          <w:sz w:val="32"/>
          <w:szCs w:val="32"/>
          <w:lang w:eastAsia="zh-CN"/>
        </w:rPr>
        <w:t>并全部拆除</w:t>
      </w:r>
      <w:r>
        <w:rPr>
          <w:rFonts w:hint="eastAsia" w:ascii="仿宋_GB2312" w:hAnsi="仿宋_GB2312" w:eastAsia="仿宋_GB2312" w:cs="仿宋_GB2312"/>
          <w:sz w:val="32"/>
          <w:szCs w:val="32"/>
        </w:rPr>
        <w:t>。积极落实责任，充分发挥作用，先后组织7次集中清理整治行动，规范店外经营30余处，疏导流动摊点20余个，处理噪音扰民6起和乱倒垃圾1起，暂扣大喇叭6个，并签订不扰民的保证书。组织落实市容和环境卫生责任区制度，共划分12个责任区，由执法局工作人员包联进行日常监督检查。对东明国道两侧绿植进行养护，镇区环境存在的问题直接现场进行处理，分工后我镇环境卫生取得明显改善。</w:t>
      </w:r>
    </w:p>
    <w:p>
      <w:pPr>
        <w:keepNext w:val="0"/>
        <w:keepLines w:val="0"/>
        <w:pageBreakBefore w:val="0"/>
        <w:numPr>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黑体" w:hAnsi="黑体" w:eastAsia="黑体" w:cs="黑体"/>
          <w:sz w:val="32"/>
          <w:szCs w:val="32"/>
          <w:lang w:val="en-US" w:eastAsia="zh-CN"/>
        </w:rPr>
        <w:t>2、积极开展综合执法工作</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积极开展违法建筑治理、</w:t>
      </w:r>
      <w:r>
        <w:rPr>
          <w:rFonts w:hint="eastAsia" w:ascii="仿宋_GB2312" w:hAnsi="仿宋_GB2312" w:eastAsia="仿宋_GB2312" w:cs="仿宋_GB2312"/>
          <w:b w:val="0"/>
          <w:bCs w:val="0"/>
          <w:sz w:val="32"/>
          <w:szCs w:val="32"/>
        </w:rPr>
        <w:t>擅自改变林地用途的行政处罚</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草原违法图斑集中整治</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消防安全检查等工作的办理，有效震慑和遏制了违法占地、违法改变林地用途和违法占用草原等违法行为。</w:t>
      </w:r>
      <w:r>
        <w:rPr>
          <w:rFonts w:hint="eastAsia" w:ascii="仿宋_GB2312" w:hAnsi="仿宋_GB2312" w:eastAsia="仿宋_GB2312" w:cs="仿宋_GB2312"/>
          <w:b/>
          <w:bCs/>
          <w:sz w:val="32"/>
          <w:szCs w:val="32"/>
          <w:lang w:val="en-US" w:eastAsia="zh-CN"/>
        </w:rPr>
        <w:t>截止目前共处理违法建筑20处，</w:t>
      </w:r>
      <w:r>
        <w:rPr>
          <w:rFonts w:hint="eastAsia" w:ascii="仿宋_GB2312" w:hAnsi="仿宋_GB2312" w:eastAsia="仿宋_GB2312" w:cs="仿宋_GB2312"/>
          <w:sz w:val="32"/>
          <w:szCs w:val="32"/>
          <w:lang w:eastAsia="zh-CN"/>
        </w:rPr>
        <w:t>累计</w:t>
      </w:r>
      <w:r>
        <w:rPr>
          <w:rFonts w:hint="eastAsia" w:ascii="仿宋_GB2312" w:hAnsi="仿宋_GB2312" w:eastAsia="仿宋_GB2312" w:cs="仿宋_GB2312"/>
          <w:sz w:val="32"/>
          <w:szCs w:val="32"/>
        </w:rPr>
        <w:t>拆除镇区违法建筑2处，下达《行政处罚告知书》16份、《责令停止违法行为通知书》17份、《行政处罚决定书》13份。核实国土资源违法图斑17处，现场责令自行拆除1处，其余已下发责令停建通知书</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b/>
          <w:bCs/>
          <w:sz w:val="32"/>
          <w:szCs w:val="32"/>
          <w:lang w:eastAsia="zh-CN"/>
        </w:rPr>
        <w:t>在</w:t>
      </w:r>
      <w:r>
        <w:rPr>
          <w:rFonts w:hint="eastAsia" w:ascii="仿宋_GB2312" w:hAnsi="仿宋_GB2312" w:eastAsia="仿宋_GB2312" w:cs="仿宋_GB2312"/>
          <w:b/>
          <w:bCs/>
          <w:sz w:val="32"/>
          <w:szCs w:val="32"/>
        </w:rPr>
        <w:t>擅自改变林地用途的行政处罚</w:t>
      </w:r>
      <w:r>
        <w:rPr>
          <w:rFonts w:hint="eastAsia" w:ascii="仿宋_GB2312" w:hAnsi="仿宋_GB2312" w:eastAsia="仿宋_GB2312" w:cs="仿宋_GB2312"/>
          <w:b/>
          <w:bCs/>
          <w:sz w:val="32"/>
          <w:szCs w:val="32"/>
          <w:lang w:eastAsia="zh-CN"/>
        </w:rPr>
        <w:t>方面，</w:t>
      </w:r>
      <w:r>
        <w:rPr>
          <w:rFonts w:hint="eastAsia" w:ascii="仿宋_GB2312" w:hAnsi="仿宋_GB2312" w:eastAsia="仿宋_GB2312" w:cs="仿宋_GB2312"/>
          <w:sz w:val="32"/>
          <w:szCs w:val="32"/>
          <w:lang w:eastAsia="zh-CN"/>
        </w:rPr>
        <w:t>持续</w:t>
      </w:r>
      <w:r>
        <w:rPr>
          <w:rFonts w:hint="eastAsia" w:ascii="仿宋_GB2312" w:hAnsi="仿宋_GB2312" w:eastAsia="仿宋_GB2312" w:cs="仿宋_GB2312"/>
          <w:sz w:val="32"/>
          <w:szCs w:val="32"/>
        </w:rPr>
        <w:t>加强森林资源管理，规范林业行政执法工作，确立行政执法委托机关与受委托组织的权利义务，</w:t>
      </w:r>
      <w:r>
        <w:rPr>
          <w:rFonts w:hint="eastAsia" w:ascii="仿宋_GB2312" w:hAnsi="仿宋_GB2312" w:eastAsia="仿宋_GB2312" w:cs="仿宋_GB2312"/>
          <w:sz w:val="32"/>
          <w:szCs w:val="32"/>
          <w:lang w:eastAsia="zh-CN"/>
        </w:rPr>
        <w:t>自</w:t>
      </w:r>
      <w:r>
        <w:rPr>
          <w:rFonts w:hint="eastAsia" w:ascii="仿宋_GB2312" w:hAnsi="仿宋_GB2312" w:eastAsia="仿宋_GB2312" w:cs="仿宋_GB2312"/>
          <w:sz w:val="32"/>
          <w:szCs w:val="32"/>
        </w:rPr>
        <w:t>接到委托</w:t>
      </w:r>
      <w:r>
        <w:rPr>
          <w:rFonts w:hint="eastAsia" w:ascii="仿宋_GB2312" w:hAnsi="仿宋_GB2312" w:eastAsia="仿宋_GB2312" w:cs="仿宋_GB2312"/>
          <w:sz w:val="32"/>
          <w:szCs w:val="32"/>
          <w:lang w:eastAsia="zh-CN"/>
        </w:rPr>
        <w:t>至今，累计处理</w:t>
      </w:r>
      <w:r>
        <w:rPr>
          <w:rFonts w:hint="eastAsia" w:ascii="仿宋_GB2312" w:hAnsi="仿宋_GB2312" w:eastAsia="仿宋_GB2312" w:cs="仿宋_GB2312"/>
          <w:sz w:val="32"/>
          <w:szCs w:val="32"/>
        </w:rPr>
        <w:t>擅自改变林地用途</w:t>
      </w:r>
      <w:r>
        <w:rPr>
          <w:rFonts w:hint="eastAsia" w:ascii="仿宋_GB2312" w:hAnsi="仿宋_GB2312" w:eastAsia="仿宋_GB2312" w:cs="仿宋_GB2312"/>
          <w:sz w:val="32"/>
          <w:szCs w:val="32"/>
          <w:lang w:val="en-US" w:eastAsia="zh-CN"/>
        </w:rPr>
        <w:t>117</w:t>
      </w:r>
      <w:r>
        <w:rPr>
          <w:rFonts w:hint="eastAsia" w:ascii="仿宋_GB2312" w:hAnsi="仿宋_GB2312" w:eastAsia="仿宋_GB2312" w:cs="仿宋_GB2312"/>
          <w:sz w:val="32"/>
          <w:szCs w:val="32"/>
          <w:lang w:eastAsia="zh-CN"/>
        </w:rPr>
        <w:t>起，其中拆除并恢复造林</w:t>
      </w:r>
      <w:r>
        <w:rPr>
          <w:rFonts w:hint="eastAsia" w:ascii="仿宋_GB2312" w:hAnsi="仿宋_GB2312" w:eastAsia="仿宋_GB2312" w:cs="仿宋_GB2312"/>
          <w:sz w:val="32"/>
          <w:szCs w:val="32"/>
          <w:lang w:val="en-US" w:eastAsia="zh-CN"/>
        </w:rPr>
        <w:t>3处</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林业违法占用1起</w:t>
      </w:r>
      <w:r>
        <w:rPr>
          <w:rFonts w:hint="eastAsia" w:ascii="仿宋_GB2312" w:hAnsi="仿宋_GB2312" w:eastAsia="仿宋_GB2312" w:cs="仿宋_GB2312"/>
          <w:sz w:val="32"/>
          <w:szCs w:val="32"/>
          <w:lang w:eastAsia="zh-CN"/>
        </w:rPr>
        <w:t>，移送公安机关处理</w:t>
      </w:r>
      <w:r>
        <w:rPr>
          <w:rFonts w:hint="eastAsia" w:ascii="仿宋_GB2312" w:hAnsi="仿宋_GB2312" w:eastAsia="仿宋_GB2312" w:cs="仿宋_GB2312"/>
          <w:sz w:val="32"/>
          <w:szCs w:val="32"/>
        </w:rPr>
        <w:t>3起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lang w:eastAsia="zh-CN"/>
        </w:rPr>
        <w:t>在</w:t>
      </w:r>
      <w:r>
        <w:rPr>
          <w:rFonts w:hint="eastAsia" w:ascii="仿宋_GB2312" w:hAnsi="仿宋_GB2312" w:eastAsia="仿宋_GB2312" w:cs="仿宋_GB2312"/>
          <w:b/>
          <w:bCs/>
          <w:sz w:val="32"/>
          <w:szCs w:val="32"/>
        </w:rPr>
        <w:t>草原违法图斑集中整治</w:t>
      </w:r>
      <w:r>
        <w:rPr>
          <w:rFonts w:hint="eastAsia" w:ascii="仿宋_GB2312" w:hAnsi="仿宋_GB2312" w:eastAsia="仿宋_GB2312" w:cs="仿宋_GB2312"/>
          <w:b/>
          <w:bCs/>
          <w:sz w:val="32"/>
          <w:szCs w:val="32"/>
          <w:lang w:eastAsia="zh-CN"/>
        </w:rPr>
        <w:t>方面，</w:t>
      </w:r>
      <w:r>
        <w:rPr>
          <w:rFonts w:hint="eastAsia" w:ascii="仿宋_GB2312" w:hAnsi="仿宋_GB2312" w:eastAsia="仿宋_GB2312" w:cs="仿宋_GB2312"/>
          <w:sz w:val="32"/>
          <w:szCs w:val="32"/>
        </w:rPr>
        <w:t>依据自治区人民政府赋予基层对破坏草原进行行政处罚的权力，对上级部门下发的95块图斑进行整治。共整改完成44处图斑，我局针对开垦和占用类图斑经调查了解和现场核实整改完成20处，其余违法图斑正抓紧落实整改</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b/>
          <w:bCs/>
          <w:sz w:val="32"/>
          <w:szCs w:val="32"/>
          <w:lang w:val="en-US" w:eastAsia="zh-CN"/>
        </w:rPr>
        <w:t>消防安全工作方面</w:t>
      </w:r>
      <w:r>
        <w:rPr>
          <w:rFonts w:hint="eastAsia" w:ascii="仿宋_GB2312" w:hAnsi="仿宋_GB2312" w:eastAsia="仿宋_GB2312" w:cs="仿宋_GB2312"/>
          <w:sz w:val="32"/>
          <w:szCs w:val="32"/>
          <w:lang w:val="en-US" w:eastAsia="zh-CN"/>
        </w:rPr>
        <w:t>，受奈曼旗消防大队委托我镇综合行政执法局联合东明消防站队员，针对全镇大型超市、饭店、服装店、烟花爆竹销售点和三合一重点私营企业进行全面排查。排查其消防安全、电路安全、采暖设备安全等。对各商户存在的安全问题建立台账、提出安全指导意见、要求立行立改，逐一销号并现场宣传安全生产相关知识。</w:t>
      </w:r>
    </w:p>
    <w:p>
      <w:pPr>
        <w:keepNext w:val="0"/>
        <w:keepLines w:val="0"/>
        <w:pageBreakBefore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b w:val="0"/>
          <w:bCs w:val="0"/>
          <w:sz w:val="32"/>
          <w:szCs w:val="32"/>
        </w:rPr>
        <w:t>落实禁牧</w:t>
      </w:r>
      <w:r>
        <w:rPr>
          <w:rFonts w:hint="eastAsia" w:ascii="黑体" w:hAnsi="黑体" w:eastAsia="黑体" w:cs="黑体"/>
          <w:b w:val="0"/>
          <w:bCs w:val="0"/>
          <w:sz w:val="32"/>
          <w:szCs w:val="32"/>
          <w:lang w:eastAsia="zh-CN"/>
        </w:rPr>
        <w:t>方面</w:t>
      </w:r>
    </w:p>
    <w:p>
      <w:pPr>
        <w:keepNext w:val="0"/>
        <w:keepLines w:val="0"/>
        <w:pageBreakBefore w:val="0"/>
        <w:numPr>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组建禁牧大队，尤其对铁路沿线两侧禁牧工作进行全面安排部署，同时建立轮班巡逻制度，安排专人全天值班、昼夜巡查。202</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年签订《铁路沿线大牲畜养殖户主维护铁路运输安全协议书》2</w:t>
      </w:r>
      <w:r>
        <w:rPr>
          <w:rFonts w:hint="eastAsia" w:ascii="仿宋_GB2312" w:hAnsi="仿宋_GB2312" w:eastAsia="仿宋_GB2312" w:cs="仿宋_GB2312"/>
          <w:sz w:val="32"/>
          <w:szCs w:val="32"/>
          <w:lang w:val="en-US" w:eastAsia="zh-CN"/>
        </w:rPr>
        <w:t>26</w:t>
      </w:r>
      <w:r>
        <w:rPr>
          <w:rFonts w:hint="eastAsia" w:ascii="仿宋_GB2312" w:hAnsi="仿宋_GB2312" w:eastAsia="仿宋_GB2312" w:cs="仿宋_GB2312"/>
          <w:sz w:val="32"/>
          <w:szCs w:val="32"/>
        </w:rPr>
        <w:t>份。2023年1月至今处理放牧行为</w:t>
      </w:r>
      <w:r>
        <w:rPr>
          <w:rFonts w:hint="eastAsia" w:ascii="仿宋_GB2312" w:hAnsi="仿宋_GB2312" w:eastAsia="仿宋_GB2312" w:cs="仿宋_GB2312"/>
          <w:sz w:val="32"/>
          <w:szCs w:val="32"/>
          <w:lang w:val="en-US" w:eastAsia="zh-CN"/>
        </w:rPr>
        <w:t>111</w:t>
      </w:r>
      <w:r>
        <w:rPr>
          <w:rFonts w:hint="eastAsia" w:ascii="仿宋_GB2312" w:hAnsi="仿宋_GB2312" w:eastAsia="仿宋_GB2312" w:cs="仿宋_GB2312"/>
          <w:sz w:val="32"/>
          <w:szCs w:val="32"/>
        </w:rPr>
        <w:t>起，罚款</w:t>
      </w:r>
      <w:r>
        <w:rPr>
          <w:rFonts w:hint="eastAsia" w:ascii="仿宋_GB2312" w:hAnsi="仿宋_GB2312" w:eastAsia="仿宋_GB2312" w:cs="仿宋_GB2312"/>
          <w:sz w:val="32"/>
          <w:szCs w:val="32"/>
          <w:lang w:val="en-US" w:eastAsia="zh-CN"/>
        </w:rPr>
        <w:t>111</w:t>
      </w:r>
      <w:r>
        <w:rPr>
          <w:rFonts w:hint="eastAsia" w:ascii="仿宋_GB2312" w:hAnsi="仿宋_GB2312" w:eastAsia="仿宋_GB2312" w:cs="仿宋_GB2312"/>
          <w:sz w:val="32"/>
          <w:szCs w:val="32"/>
        </w:rPr>
        <w:t>起，罚款已直接上交至财政所平台（非税收入收缴电子化管理系统）。</w:t>
      </w:r>
    </w:p>
    <w:p>
      <w:pPr>
        <w:keepNext w:val="0"/>
        <w:keepLines w:val="0"/>
        <w:pageBreakBefore w:val="0"/>
        <w:numPr>
          <w:ilvl w:val="0"/>
          <w:numId w:val="2"/>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b w:val="0"/>
          <w:bCs w:val="0"/>
          <w:sz w:val="32"/>
          <w:szCs w:val="32"/>
          <w:lang w:val="en-US" w:eastAsia="zh-CN"/>
        </w:rPr>
      </w:pPr>
      <w:r>
        <w:rPr>
          <w:rFonts w:hint="eastAsia" w:ascii="黑体" w:hAnsi="黑体" w:eastAsia="黑体" w:cs="黑体"/>
          <w:b w:val="0"/>
          <w:bCs w:val="0"/>
          <w:sz w:val="32"/>
          <w:szCs w:val="32"/>
          <w:lang w:eastAsia="zh-CN"/>
        </w:rPr>
        <w:t>在强化</w:t>
      </w:r>
      <w:r>
        <w:rPr>
          <w:rFonts w:hint="eastAsia" w:ascii="黑体" w:hAnsi="黑体" w:eastAsia="黑体" w:cs="黑体"/>
          <w:b w:val="0"/>
          <w:bCs w:val="0"/>
          <w:sz w:val="32"/>
          <w:szCs w:val="32"/>
        </w:rPr>
        <w:t>设施管护</w:t>
      </w:r>
      <w:r>
        <w:rPr>
          <w:rFonts w:hint="eastAsia" w:ascii="黑体" w:hAnsi="黑体" w:eastAsia="黑体" w:cs="黑体"/>
          <w:b w:val="0"/>
          <w:bCs w:val="0"/>
          <w:sz w:val="32"/>
          <w:szCs w:val="32"/>
          <w:lang w:eastAsia="zh-CN"/>
        </w:rPr>
        <w:t>方面</w:t>
      </w:r>
    </w:p>
    <w:p>
      <w:pPr>
        <w:keepNext w:val="0"/>
        <w:keepLines w:val="0"/>
        <w:pageBreakBefore w:val="0"/>
        <w:numPr>
          <w:numId w:val="0"/>
        </w:numPr>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东明镇综合行政执法局组织工作人员巡查镇区大街小巷消除安全隐患。</w:t>
      </w:r>
      <w:r>
        <w:rPr>
          <w:rFonts w:hint="eastAsia" w:ascii="仿宋_GB2312" w:hAnsi="仿宋_GB2312" w:eastAsia="仿宋_GB2312" w:cs="仿宋_GB2312"/>
          <w:sz w:val="32"/>
          <w:szCs w:val="32"/>
          <w:lang w:eastAsia="zh-CN"/>
        </w:rPr>
        <w:t>累计</w:t>
      </w:r>
      <w:r>
        <w:rPr>
          <w:rFonts w:hint="eastAsia" w:ascii="仿宋_GB2312" w:hAnsi="仿宋_GB2312" w:eastAsia="仿宋_GB2312" w:cs="仿宋_GB2312"/>
          <w:sz w:val="32"/>
          <w:szCs w:val="32"/>
        </w:rPr>
        <w:t>更换污水井盖20个，维修38个，更换井篦子14个，维修井篦子40个，维修路灯7盏，维修路灯杆55个。</w:t>
      </w:r>
    </w:p>
    <w:p>
      <w:pPr>
        <w:keepNext w:val="0"/>
        <w:keepLines w:val="0"/>
        <w:pageBreakBefore w:val="0"/>
        <w:numPr>
          <w:ilvl w:val="0"/>
          <w:numId w:val="2"/>
        </w:numPr>
        <w:kinsoku/>
        <w:wordWrap/>
        <w:overflowPunct/>
        <w:topLinePunct w:val="0"/>
        <w:autoSpaceDE/>
        <w:autoSpaceDN/>
        <w:bidi w:val="0"/>
        <w:adjustRightInd/>
        <w:snapToGrid/>
        <w:spacing w:line="560" w:lineRule="exact"/>
        <w:ind w:left="0" w:leftChars="0" w:firstLine="640" w:firstLineChars="200"/>
        <w:textAlignment w:val="auto"/>
        <w:rPr>
          <w:rFonts w:hint="eastAsia" w:ascii="黑体" w:hAnsi="黑体" w:eastAsia="黑体" w:cs="黑体"/>
          <w:b w:val="0"/>
          <w:bCs w:val="0"/>
          <w:sz w:val="32"/>
          <w:szCs w:val="32"/>
          <w:lang w:eastAsia="zh-CN"/>
        </w:rPr>
      </w:pPr>
      <w:r>
        <w:rPr>
          <w:rFonts w:hint="eastAsia" w:ascii="黑体" w:hAnsi="黑体" w:eastAsia="黑体" w:cs="黑体"/>
          <w:b w:val="0"/>
          <w:bCs w:val="0"/>
          <w:sz w:val="32"/>
          <w:szCs w:val="32"/>
          <w:lang w:eastAsia="zh-CN"/>
        </w:rPr>
        <w:t>在</w:t>
      </w:r>
      <w:r>
        <w:rPr>
          <w:rFonts w:hint="eastAsia" w:ascii="黑体" w:hAnsi="黑体" w:eastAsia="黑体" w:cs="黑体"/>
          <w:b w:val="0"/>
          <w:bCs w:val="0"/>
          <w:sz w:val="32"/>
          <w:szCs w:val="32"/>
        </w:rPr>
        <w:t>信访维稳</w:t>
      </w:r>
      <w:r>
        <w:rPr>
          <w:rFonts w:hint="eastAsia" w:ascii="黑体" w:hAnsi="黑体" w:eastAsia="黑体" w:cs="黑体"/>
          <w:b w:val="0"/>
          <w:bCs w:val="0"/>
          <w:sz w:val="32"/>
          <w:szCs w:val="32"/>
          <w:lang w:eastAsia="zh-CN"/>
        </w:rPr>
        <w:t>方面</w:t>
      </w:r>
    </w:p>
    <w:p>
      <w:pPr>
        <w:keepNext w:val="0"/>
        <w:keepLines w:val="0"/>
        <w:pageBreakBefore w:val="0"/>
        <w:numPr>
          <w:ilvl w:val="0"/>
          <w:numId w:val="0"/>
        </w:numPr>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累计</w:t>
      </w:r>
      <w:r>
        <w:rPr>
          <w:rFonts w:hint="eastAsia" w:ascii="仿宋_GB2312" w:hAnsi="仿宋_GB2312" w:eastAsia="仿宋_GB2312" w:cs="仿宋_GB2312"/>
          <w:sz w:val="32"/>
          <w:szCs w:val="32"/>
        </w:rPr>
        <w:t>受理12345服务热线转办</w:t>
      </w:r>
      <w:r>
        <w:rPr>
          <w:rFonts w:hint="eastAsia" w:ascii="仿宋_GB2312" w:hAnsi="仿宋_GB2312" w:eastAsia="仿宋_GB2312" w:cs="仿宋_GB2312"/>
          <w:sz w:val="32"/>
          <w:szCs w:val="32"/>
          <w:lang w:val="en-US" w:eastAsia="zh-CN"/>
        </w:rPr>
        <w:t>10</w:t>
      </w:r>
      <w:r>
        <w:rPr>
          <w:rFonts w:hint="eastAsia" w:ascii="仿宋_GB2312" w:hAnsi="仿宋_GB2312" w:eastAsia="仿宋_GB2312" w:cs="仿宋_GB2312"/>
          <w:sz w:val="32"/>
          <w:szCs w:val="32"/>
        </w:rPr>
        <w:t>件（1起属于司法案件），</w:t>
      </w:r>
      <w:r>
        <w:rPr>
          <w:rFonts w:hint="eastAsia" w:ascii="仿宋_GB2312" w:hAnsi="仿宋_GB2312" w:eastAsia="仿宋_GB2312" w:cs="仿宋_GB2312"/>
          <w:sz w:val="32"/>
          <w:szCs w:val="32"/>
          <w:lang w:eastAsia="zh-CN"/>
        </w:rPr>
        <w:t>办结</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起，</w:t>
      </w:r>
      <w:r>
        <w:rPr>
          <w:rFonts w:hint="eastAsia" w:ascii="仿宋_GB2312" w:hAnsi="仿宋_GB2312" w:eastAsia="仿宋_GB2312" w:cs="仿宋_GB2312"/>
          <w:sz w:val="32"/>
          <w:szCs w:val="32"/>
          <w:lang w:eastAsia="zh-CN"/>
        </w:rPr>
        <w:t>移交</w:t>
      </w:r>
      <w:r>
        <w:rPr>
          <w:rFonts w:hint="eastAsia" w:ascii="仿宋_GB2312" w:hAnsi="仿宋_GB2312" w:eastAsia="仿宋_GB2312" w:cs="仿宋_GB2312"/>
          <w:sz w:val="32"/>
          <w:szCs w:val="32"/>
        </w:rPr>
        <w:t>司法程序1起，</w:t>
      </w:r>
      <w:r>
        <w:rPr>
          <w:rFonts w:hint="eastAsia" w:ascii="仿宋_GB2312" w:hAnsi="仿宋_GB2312" w:eastAsia="仿宋_GB2312" w:cs="仿宋_GB2312"/>
          <w:sz w:val="32"/>
          <w:szCs w:val="32"/>
          <w:lang w:val="en-US" w:eastAsia="zh-CN"/>
        </w:rPr>
        <w:t>均在规定时限内得到圆满解决，</w:t>
      </w:r>
      <w:r>
        <w:rPr>
          <w:rFonts w:hint="eastAsia" w:ascii="仿宋_GB2312" w:hAnsi="仿宋_GB2312" w:eastAsia="仿宋_GB2312" w:cs="仿宋_GB2312"/>
          <w:sz w:val="32"/>
          <w:szCs w:val="32"/>
          <w:lang w:eastAsia="zh-CN"/>
        </w:rPr>
        <w:t>信访反馈</w:t>
      </w:r>
      <w:r>
        <w:rPr>
          <w:rFonts w:hint="eastAsia" w:ascii="仿宋_GB2312" w:hAnsi="仿宋_GB2312" w:eastAsia="仿宋_GB2312" w:cs="仿宋_GB2312"/>
          <w:sz w:val="32"/>
          <w:szCs w:val="32"/>
        </w:rPr>
        <w:t>满意度100%。</w:t>
      </w:r>
      <w:r>
        <w:rPr>
          <w:rFonts w:hint="eastAsia" w:ascii="仿宋_GB2312" w:hAnsi="仿宋_GB2312" w:eastAsia="仿宋_GB2312" w:cs="仿宋_GB2312"/>
          <w:sz w:val="32"/>
          <w:szCs w:val="32"/>
          <w:lang w:eastAsia="zh-CN"/>
        </w:rPr>
        <w:t>调解</w:t>
      </w:r>
      <w:r>
        <w:rPr>
          <w:rFonts w:hint="eastAsia" w:ascii="仿宋_GB2312" w:hAnsi="仿宋_GB2312" w:eastAsia="仿宋_GB2312" w:cs="仿宋_GB2312"/>
          <w:sz w:val="32"/>
          <w:szCs w:val="32"/>
        </w:rPr>
        <w:t>镇区</w:t>
      </w:r>
      <w:r>
        <w:rPr>
          <w:rFonts w:hint="eastAsia" w:ascii="仿宋_GB2312" w:hAnsi="仿宋_GB2312" w:eastAsia="仿宋_GB2312" w:cs="仿宋_GB2312"/>
          <w:sz w:val="32"/>
          <w:szCs w:val="32"/>
          <w:lang w:eastAsia="zh-CN"/>
        </w:rPr>
        <w:t>设施位置</w:t>
      </w:r>
      <w:r>
        <w:rPr>
          <w:rFonts w:hint="eastAsia" w:ascii="仿宋_GB2312" w:hAnsi="仿宋_GB2312" w:eastAsia="仿宋_GB2312" w:cs="仿宋_GB2312"/>
          <w:sz w:val="32"/>
          <w:szCs w:val="32"/>
        </w:rPr>
        <w:t>纠纷、邻里纠纷22起，</w:t>
      </w:r>
      <w:r>
        <w:rPr>
          <w:rFonts w:hint="eastAsia" w:ascii="仿宋_GB2312" w:hAnsi="仿宋_GB2312" w:eastAsia="仿宋_GB2312" w:cs="仿宋_GB2312"/>
          <w:sz w:val="32"/>
          <w:szCs w:val="32"/>
          <w:lang w:val="en-US" w:eastAsia="zh-CN"/>
        </w:rPr>
        <w:t>做到事事有回应、件件有落实，</w:t>
      </w:r>
      <w:r>
        <w:rPr>
          <w:rFonts w:hint="eastAsia" w:ascii="仿宋_GB2312" w:hAnsi="仿宋_GB2312" w:eastAsia="仿宋_GB2312" w:cs="仿宋_GB2312"/>
          <w:sz w:val="32"/>
          <w:szCs w:val="32"/>
        </w:rPr>
        <w:t>有效防范、化解、稳控各类纠纷风险。</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val="en-US" w:eastAsia="zh-CN"/>
        </w:rPr>
        <w:t>二</w:t>
      </w:r>
      <w:r>
        <w:rPr>
          <w:rFonts w:hint="eastAsia" w:ascii="黑体" w:hAnsi="黑体" w:eastAsia="黑体" w:cs="黑体"/>
          <w:sz w:val="32"/>
          <w:szCs w:val="32"/>
          <w:lang w:eastAsia="zh-CN"/>
        </w:rPr>
        <w:t>、存在问题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b w:val="0"/>
          <w:bCs w:val="0"/>
          <w:sz w:val="32"/>
          <w:szCs w:val="32"/>
          <w:lang w:val="en-US" w:eastAsia="zh-CN"/>
        </w:rPr>
        <w:t>一是人员知识储备和执法要求不匹配</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sz w:val="32"/>
          <w:szCs w:val="32"/>
          <w:lang w:val="en-US" w:eastAsia="zh-CN"/>
        </w:rPr>
        <w:t>例如：</w:t>
      </w:r>
      <w:r>
        <w:rPr>
          <w:rFonts w:hint="default" w:ascii="仿宋_GB2312" w:hAnsi="仿宋_GB2312" w:eastAsia="仿宋_GB2312" w:cs="仿宋_GB2312"/>
          <w:sz w:val="32"/>
          <w:szCs w:val="32"/>
          <w:lang w:val="en-US" w:eastAsia="zh-CN"/>
        </w:rPr>
        <w:t>本次违法图斑行动中，</w:t>
      </w:r>
      <w:r>
        <w:rPr>
          <w:rFonts w:hint="eastAsia" w:ascii="仿宋_GB2312" w:hAnsi="仿宋_GB2312" w:eastAsia="仿宋_GB2312" w:cs="仿宋_GB2312"/>
          <w:sz w:val="32"/>
          <w:szCs w:val="32"/>
          <w:lang w:val="en-US" w:eastAsia="zh-CN"/>
        </w:rPr>
        <w:t>不仅要求</w:t>
      </w:r>
      <w:r>
        <w:rPr>
          <w:rFonts w:hint="default" w:ascii="仿宋_GB2312" w:hAnsi="仿宋_GB2312" w:eastAsia="仿宋_GB2312" w:cs="仿宋_GB2312"/>
          <w:sz w:val="32"/>
          <w:szCs w:val="32"/>
          <w:lang w:val="en-US" w:eastAsia="zh-CN"/>
        </w:rPr>
        <w:t>执法人员熟悉</w:t>
      </w:r>
      <w:r>
        <w:rPr>
          <w:rFonts w:hint="eastAsia" w:ascii="仿宋_GB2312" w:hAnsi="仿宋_GB2312" w:eastAsia="仿宋_GB2312" w:cs="仿宋_GB2312"/>
          <w:sz w:val="32"/>
          <w:szCs w:val="32"/>
          <w:lang w:val="en-US" w:eastAsia="zh-CN"/>
        </w:rPr>
        <w:t>法律条例，还要有深刻的理解认识和一定的实践经验。目前基层培训力度和效果远远满足不了执法需求。希望上级通过业务培训、交叉检查、定期抽调基层执法骨干参与相关业务跟班学习或挂职锻炼，全方位提高基层办案业务水平；</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firstLine="640" w:firstLineChars="200"/>
        <w:jc w:val="left"/>
        <w:textAlignment w:val="auto"/>
        <w:rPr>
          <w:rFonts w:hint="eastAsia" w:ascii="仿宋_GB2312" w:hAnsi="仿宋_GB2312" w:eastAsia="仿宋_GB2312" w:cs="仿宋_GB2312"/>
          <w:sz w:val="32"/>
          <w:szCs w:val="32"/>
          <w:lang w:val="en-US" w:eastAsia="zh-CN"/>
        </w:rPr>
      </w:pPr>
      <w:r>
        <w:rPr>
          <w:rFonts w:hint="eastAsia" w:ascii="黑体" w:hAnsi="黑体" w:eastAsia="黑体" w:cs="黑体"/>
          <w:b w:val="0"/>
          <w:bCs w:val="0"/>
          <w:sz w:val="32"/>
          <w:szCs w:val="32"/>
          <w:lang w:val="en-US" w:eastAsia="zh-CN"/>
        </w:rPr>
        <w:t>二是基层执法软实力不足</w:t>
      </w:r>
      <w:r>
        <w:rPr>
          <w:rFonts w:hint="eastAsia" w:ascii="仿宋_GB2312" w:hAnsi="仿宋_GB2312" w:eastAsia="仿宋_GB2312" w:cs="仿宋_GB2312"/>
          <w:b/>
          <w:bCs/>
          <w:sz w:val="32"/>
          <w:szCs w:val="32"/>
          <w:lang w:val="en-US" w:eastAsia="zh-CN"/>
        </w:rPr>
        <w:t>。</w:t>
      </w:r>
      <w:r>
        <w:rPr>
          <w:rFonts w:hint="eastAsia" w:ascii="仿宋_GB2312" w:hAnsi="仿宋_GB2312" w:eastAsia="仿宋_GB2312" w:cs="仿宋_GB2312"/>
          <w:kern w:val="2"/>
          <w:sz w:val="32"/>
          <w:szCs w:val="32"/>
          <w:lang w:val="en-US" w:eastAsia="zh-CN" w:bidi="ar-SA"/>
        </w:rPr>
        <w:t>以前各项执法工作均由旗级相关部门执行，目前，乡镇干部虽已考取执法资格证，但</w:t>
      </w:r>
      <w:r>
        <w:rPr>
          <w:rFonts w:hint="eastAsia" w:ascii="仿宋_GB2312" w:hAnsi="仿宋_GB2312" w:eastAsia="仿宋_GB2312" w:cs="仿宋_GB2312"/>
          <w:sz w:val="32"/>
          <w:szCs w:val="32"/>
          <w:lang w:val="en-US" w:eastAsia="zh-CN"/>
        </w:rPr>
        <w:t>在编在岗人员普遍年龄偏大、综合素质不高，</w:t>
      </w:r>
      <w:r>
        <w:rPr>
          <w:rFonts w:hint="eastAsia" w:ascii="仿宋_GB2312" w:hAnsi="仿宋_GB2312" w:eastAsia="仿宋_GB2312" w:cs="仿宋_GB2312"/>
          <w:kern w:val="2"/>
          <w:sz w:val="32"/>
          <w:szCs w:val="32"/>
          <w:lang w:val="en-US" w:eastAsia="zh-CN" w:bidi="ar-SA"/>
        </w:rPr>
        <w:t>缺乏执法规范程序及经验，执法工作开展难度较大，限制较多，</w:t>
      </w:r>
      <w:r>
        <w:rPr>
          <w:rFonts w:hint="eastAsia" w:ascii="仿宋_GB2312" w:hAnsi="仿宋_GB2312" w:eastAsia="仿宋_GB2312" w:cs="仿宋_GB2312"/>
          <w:sz w:val="32"/>
          <w:szCs w:val="32"/>
          <w:lang w:val="en-US" w:eastAsia="zh-CN"/>
        </w:rPr>
        <w:t>存在一定难度。难以满足岗位业务的需求，影响日常工作的开展。尤其是综合行政执法局工作人员综合素质较低、法律法规学习不深、掌握不透，缺少必要的专业知识。</w:t>
      </w:r>
      <w:r>
        <w:rPr>
          <w:rFonts w:hint="eastAsia" w:ascii="仿宋_GB2312" w:hAnsi="仿宋_GB2312" w:eastAsia="仿宋_GB2312" w:cs="仿宋_GB2312"/>
          <w:kern w:val="2"/>
          <w:sz w:val="32"/>
          <w:szCs w:val="32"/>
          <w:lang w:val="en-US" w:eastAsia="zh-CN" w:bidi="ar-SA"/>
        </w:rPr>
        <w:t>目前仅以开展行政检查为主。</w:t>
      </w:r>
      <w:r>
        <w:rPr>
          <w:rFonts w:hint="eastAsia" w:ascii="仿宋_GB2312" w:hAnsi="仿宋_GB2312" w:eastAsia="仿宋_GB2312" w:cs="仿宋_GB2312"/>
          <w:sz w:val="32"/>
          <w:szCs w:val="32"/>
          <w:lang w:val="en-US" w:eastAsia="zh-CN"/>
        </w:rPr>
        <w:t>希望上级在物力、财力及政策上向基层予以倾斜，本着“因地制宜、兼顾长远”的原则，改善办案条件并配备完整的执法装备，促使执法一线的“最小作战单元”发挥“最大战斗合力”，全力提升执法硬实力。</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eastAsia" w:ascii="黑体" w:hAnsi="黑体" w:eastAsia="黑体" w:cs="黑体"/>
          <w:color w:val="333333"/>
          <w:sz w:val="32"/>
          <w:szCs w:val="32"/>
          <w:shd w:val="clear" w:color="auto" w:fill="FFFFFF"/>
        </w:rPr>
      </w:pPr>
      <w:r>
        <w:rPr>
          <w:rFonts w:hint="eastAsia" w:ascii="黑体" w:hAnsi="黑体" w:eastAsia="黑体" w:cs="黑体"/>
          <w:color w:val="333333"/>
          <w:sz w:val="32"/>
          <w:szCs w:val="32"/>
          <w:shd w:val="clear" w:color="auto" w:fill="FFFFFF"/>
          <w:lang w:val="en-US" w:eastAsia="zh-CN"/>
        </w:rPr>
        <w:t>三</w:t>
      </w:r>
      <w:r>
        <w:rPr>
          <w:rFonts w:hint="eastAsia" w:ascii="黑体" w:hAnsi="黑体" w:eastAsia="黑体" w:cs="黑体"/>
          <w:color w:val="333333"/>
          <w:sz w:val="32"/>
          <w:szCs w:val="32"/>
          <w:shd w:val="clear" w:color="auto" w:fill="FFFFFF"/>
        </w:rPr>
        <w:t>、202</w:t>
      </w:r>
      <w:r>
        <w:rPr>
          <w:rFonts w:hint="eastAsia" w:ascii="黑体" w:hAnsi="黑体" w:eastAsia="黑体" w:cs="黑体"/>
          <w:color w:val="333333"/>
          <w:sz w:val="32"/>
          <w:szCs w:val="32"/>
          <w:shd w:val="clear" w:color="auto" w:fill="FFFFFF"/>
          <w:lang w:val="en-US" w:eastAsia="zh-CN"/>
        </w:rPr>
        <w:t>4</w:t>
      </w:r>
      <w:r>
        <w:rPr>
          <w:rFonts w:hint="eastAsia" w:ascii="黑体" w:hAnsi="黑体" w:eastAsia="黑体" w:cs="黑体"/>
          <w:color w:val="333333"/>
          <w:sz w:val="32"/>
          <w:szCs w:val="32"/>
          <w:shd w:val="clear" w:color="auto" w:fill="FFFFFF"/>
        </w:rPr>
        <w:t>年重点工作计划</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kern w:val="2"/>
          <w:sz w:val="32"/>
          <w:szCs w:val="32"/>
          <w:lang w:val="en-US" w:eastAsia="zh-CN" w:bidi="ar-SA"/>
        </w:rPr>
      </w:pPr>
      <w:r>
        <w:rPr>
          <w:rFonts w:hint="eastAsia" w:ascii="黑体" w:hAnsi="黑体" w:eastAsia="黑体" w:cs="黑体"/>
          <w:color w:val="333333"/>
          <w:sz w:val="32"/>
          <w:szCs w:val="32"/>
          <w:shd w:val="clear" w:color="auto" w:fill="FFFFFF"/>
          <w:lang w:val="en-US" w:eastAsia="zh-CN"/>
        </w:rPr>
        <w:t>一是强化队伍建设，提高业务能力，</w:t>
      </w:r>
      <w:r>
        <w:rPr>
          <w:rFonts w:hint="eastAsia" w:ascii="仿宋_GB2312" w:hAnsi="仿宋_GB2312" w:eastAsia="仿宋_GB2312" w:cs="仿宋_GB2312"/>
          <w:kern w:val="2"/>
          <w:sz w:val="32"/>
          <w:szCs w:val="32"/>
          <w:lang w:val="en-US" w:eastAsia="zh-CN" w:bidi="ar-SA"/>
        </w:rPr>
        <w:t>对干部队伍进行业务培训，提升执法队伍“软实力”。持续通过集中学习和培训，围绕主责主业，强化一线执法人员对《中华人民共和国城乡规划法》《贵州省城市市容和环境卫生管理条例》《行政强制法》《行政处罚法》《行政复议法》《城市建筑垃圾管理规定》等法律法规的系统学习，切实提升执法人员知法懂法、文明执法的能力。</w:t>
      </w:r>
      <w:r>
        <w:rPr>
          <w:rFonts w:hint="eastAsia" w:ascii="楷体_GB2312" w:hAnsi="楷体_GB2312" w:eastAsia="楷体_GB2312" w:cs="楷体_GB2312"/>
          <w:b w:val="0"/>
          <w:bCs w:val="0"/>
          <w:sz w:val="32"/>
          <w:szCs w:val="32"/>
          <w:lang w:eastAsia="zh-CN"/>
        </w:rPr>
        <w:t>强化</w:t>
      </w:r>
      <w:r>
        <w:rPr>
          <w:rFonts w:hint="eastAsia" w:ascii="楷体_GB2312" w:hAnsi="楷体_GB2312" w:eastAsia="楷体_GB2312" w:cs="楷体_GB2312"/>
          <w:b w:val="0"/>
          <w:bCs w:val="0"/>
          <w:sz w:val="32"/>
          <w:szCs w:val="32"/>
        </w:rPr>
        <w:t>行政执法“三项制度”</w:t>
      </w:r>
      <w:r>
        <w:rPr>
          <w:rFonts w:hint="eastAsia" w:ascii="楷体_GB2312" w:hAnsi="楷体_GB2312" w:eastAsia="楷体_GB2312" w:cs="楷体_GB2312"/>
          <w:b w:val="0"/>
          <w:bCs w:val="0"/>
          <w:sz w:val="32"/>
          <w:szCs w:val="32"/>
          <w:lang w:eastAsia="zh-CN"/>
        </w:rPr>
        <w:t>，</w:t>
      </w:r>
      <w:r>
        <w:rPr>
          <w:rFonts w:hint="eastAsia" w:ascii="仿宋_GB2312" w:hAnsi="仿宋_GB2312" w:eastAsia="仿宋_GB2312" w:cs="仿宋_GB2312"/>
          <w:sz w:val="32"/>
          <w:szCs w:val="32"/>
        </w:rPr>
        <w:t>切实做到执法人员人人皆知、熟知。还将积极安排执法工作人员参加专门执法业务培训，增强遵守“三项制度”的自觉性和主动性，切实推进“三项制度”工作的落实。努力实现理论学习有收获、思想政治受洗礼、干事创业敢担当、为民服务解难题。在执法技巧上，促进以老带新，做好传帮带的纽带作用。</w:t>
      </w:r>
    </w:p>
    <w:p>
      <w:pPr>
        <w:pStyle w:val="4"/>
        <w:keepNext w:val="0"/>
        <w:keepLines w:val="0"/>
        <w:pageBreakBefore w:val="0"/>
        <w:widowControl/>
        <w:shd w:val="clear" w:color="auto" w:fill="FFFFFF"/>
        <w:kinsoku/>
        <w:wordWrap/>
        <w:overflowPunct/>
        <w:topLinePunct w:val="0"/>
        <w:autoSpaceDE/>
        <w:autoSpaceDN/>
        <w:bidi w:val="0"/>
        <w:adjustRightInd/>
        <w:snapToGrid/>
        <w:spacing w:beforeAutospacing="0" w:afterAutospacing="0" w:line="560" w:lineRule="exact"/>
        <w:ind w:firstLine="640" w:firstLineChars="200"/>
        <w:jc w:val="both"/>
        <w:textAlignment w:val="auto"/>
        <w:rPr>
          <w:rFonts w:hint="default" w:ascii="仿宋_GB2312" w:hAnsi="仿宋_GB2312" w:eastAsia="仿宋_GB2312" w:cs="仿宋_GB2312"/>
          <w:kern w:val="2"/>
          <w:sz w:val="32"/>
          <w:szCs w:val="32"/>
          <w:lang w:val="en-US" w:eastAsia="zh-CN" w:bidi="ar-SA"/>
        </w:rPr>
      </w:pPr>
      <w:r>
        <w:rPr>
          <w:rFonts w:hint="eastAsia" w:ascii="黑体" w:hAnsi="黑体" w:eastAsia="黑体" w:cs="黑体"/>
          <w:b w:val="0"/>
          <w:bCs w:val="0"/>
          <w:kern w:val="2"/>
          <w:sz w:val="32"/>
          <w:szCs w:val="32"/>
          <w:lang w:val="en-US" w:eastAsia="zh-CN" w:bidi="ar-SA"/>
        </w:rPr>
        <w:t>二是强化部门联动，协同解决群众占道摆摊问题</w:t>
      </w:r>
      <w:r>
        <w:rPr>
          <w:rFonts w:hint="eastAsia" w:ascii="仿宋_GB2312" w:hAnsi="仿宋_GB2312" w:eastAsia="仿宋_GB2312" w:cs="仿宋_GB2312"/>
          <w:kern w:val="2"/>
          <w:sz w:val="32"/>
          <w:szCs w:val="32"/>
          <w:lang w:val="en-US" w:eastAsia="zh-CN" w:bidi="ar-SA"/>
        </w:rPr>
        <w:t>，首先强化部门联动，充分利用新建市场。围绕群众最关</w:t>
      </w:r>
      <w:bookmarkStart w:id="0" w:name="_GoBack"/>
      <w:bookmarkEnd w:id="0"/>
      <w:r>
        <w:rPr>
          <w:rFonts w:hint="eastAsia" w:ascii="仿宋_GB2312" w:hAnsi="仿宋_GB2312" w:eastAsia="仿宋_GB2312" w:cs="仿宋_GB2312"/>
          <w:kern w:val="2"/>
          <w:sz w:val="32"/>
          <w:szCs w:val="32"/>
          <w:lang w:val="en-US" w:eastAsia="zh-CN" w:bidi="ar-SA"/>
        </w:rPr>
        <w:t>心、最直接、最现实的利益问题，结合实际及促进灵活就业政策、规定，充分发挥农贸市场的作用，改善经营环境，引导农户小菜经营户入农贸市场经营。其次疏堵结合，有序引导。进一步强化分流疏导宣传工作，建立常态化管控措施，引导街面农户小菜，自行前往农贸市场开展经营活动，缓解国道道路拥堵等问题，同时督促农贸市场设立规范化管控措施，对进入市场临时经营摊点建立常态化管理工作，有效治理我镇农户小菜经营乱象。</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三</w:t>
      </w:r>
      <w:r>
        <w:rPr>
          <w:rFonts w:hint="eastAsia" w:ascii="楷体_GB2312" w:hAnsi="楷体_GB2312" w:eastAsia="楷体_GB2312" w:cs="楷体_GB2312"/>
          <w:b/>
          <w:bCs/>
          <w:sz w:val="32"/>
          <w:szCs w:val="32"/>
          <w:lang w:eastAsia="zh-CN"/>
        </w:rPr>
        <w:t>是落实</w:t>
      </w:r>
      <w:r>
        <w:rPr>
          <w:rFonts w:hint="eastAsia" w:ascii="楷体_GB2312" w:hAnsi="楷体_GB2312" w:eastAsia="楷体_GB2312" w:cs="楷体_GB2312"/>
          <w:b/>
          <w:bCs/>
          <w:sz w:val="32"/>
          <w:szCs w:val="32"/>
        </w:rPr>
        <w:t>禁牧工作</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通过组建以东明镇综合</w:t>
      </w:r>
      <w:r>
        <w:rPr>
          <w:rFonts w:hint="eastAsia" w:ascii="仿宋_GB2312" w:hAnsi="仿宋_GB2312" w:eastAsia="仿宋_GB2312" w:cs="仿宋_GB2312"/>
          <w:sz w:val="32"/>
          <w:szCs w:val="32"/>
          <w:lang w:eastAsia="zh-CN"/>
        </w:rPr>
        <w:t>行政</w:t>
      </w:r>
      <w:r>
        <w:rPr>
          <w:rFonts w:hint="eastAsia" w:ascii="仿宋_GB2312" w:hAnsi="仿宋_GB2312" w:eastAsia="仿宋_GB2312" w:cs="仿宋_GB2312"/>
          <w:sz w:val="32"/>
          <w:szCs w:val="32"/>
        </w:rPr>
        <w:t>执法局为主的禁牧大队，尤其对铁路沿线两侧禁牧工作进行全面安排部署，同时建立轮班巡逻制度，安排专人全天值班、昼夜巡查。</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四</w:t>
      </w:r>
      <w:r>
        <w:rPr>
          <w:rFonts w:hint="eastAsia" w:ascii="楷体_GB2312" w:hAnsi="楷体_GB2312" w:eastAsia="楷体_GB2312" w:cs="楷体_GB2312"/>
          <w:b/>
          <w:bCs/>
          <w:sz w:val="32"/>
          <w:szCs w:val="32"/>
          <w:lang w:eastAsia="zh-CN"/>
        </w:rPr>
        <w:t>是</w:t>
      </w:r>
      <w:r>
        <w:rPr>
          <w:rFonts w:hint="eastAsia" w:ascii="楷体_GB2312" w:hAnsi="楷体_GB2312" w:eastAsia="楷体_GB2312" w:cs="楷体_GB2312"/>
          <w:b/>
          <w:bCs/>
          <w:sz w:val="32"/>
          <w:szCs w:val="32"/>
        </w:rPr>
        <w:t>加强</w:t>
      </w:r>
      <w:r>
        <w:rPr>
          <w:rFonts w:hint="eastAsia" w:ascii="楷体_GB2312" w:hAnsi="楷体_GB2312" w:eastAsia="楷体_GB2312" w:cs="楷体_GB2312"/>
          <w:b/>
          <w:bCs/>
          <w:sz w:val="32"/>
          <w:szCs w:val="32"/>
          <w:lang w:eastAsia="zh-CN"/>
        </w:rPr>
        <w:t>全镇</w:t>
      </w:r>
      <w:r>
        <w:rPr>
          <w:rFonts w:hint="eastAsia" w:ascii="楷体_GB2312" w:hAnsi="楷体_GB2312" w:eastAsia="楷体_GB2312" w:cs="楷体_GB2312"/>
          <w:b/>
          <w:bCs/>
          <w:sz w:val="32"/>
          <w:szCs w:val="32"/>
        </w:rPr>
        <w:t>环境卫生工作</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针对东明市场及周边环境差等不文明现象，综合行政执法局积极落实责任，充分发挥作用。</w:t>
      </w:r>
      <w:r>
        <w:rPr>
          <w:rFonts w:hint="eastAsia" w:ascii="仿宋_GB2312" w:hAnsi="仿宋_GB2312" w:eastAsia="仿宋_GB2312" w:cs="仿宋_GB2312"/>
          <w:b w:val="0"/>
          <w:bCs w:val="0"/>
          <w:sz w:val="32"/>
          <w:szCs w:val="32"/>
        </w:rPr>
        <w:t>打好占道经营专项整治行动</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sz w:val="32"/>
          <w:szCs w:val="32"/>
        </w:rPr>
        <w:t>持续巩固重点台账的整治效果，全力提升辖区镇容镇貌。</w:t>
      </w:r>
    </w:p>
    <w:p>
      <w:pPr>
        <w:keepNext w:val="0"/>
        <w:keepLines w:val="0"/>
        <w:pageBreakBefore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五</w:t>
      </w:r>
      <w:r>
        <w:rPr>
          <w:rFonts w:hint="eastAsia" w:ascii="楷体_GB2312" w:hAnsi="楷体_GB2312" w:eastAsia="楷体_GB2312" w:cs="楷体_GB2312"/>
          <w:b/>
          <w:bCs/>
          <w:sz w:val="32"/>
          <w:szCs w:val="32"/>
          <w:lang w:eastAsia="zh-CN"/>
        </w:rPr>
        <w:t>是</w:t>
      </w:r>
      <w:r>
        <w:rPr>
          <w:rFonts w:hint="eastAsia" w:ascii="楷体_GB2312" w:hAnsi="楷体_GB2312" w:eastAsia="楷体_GB2312" w:cs="楷体_GB2312"/>
          <w:b/>
          <w:bCs/>
          <w:sz w:val="32"/>
          <w:szCs w:val="32"/>
        </w:rPr>
        <w:t>紧扣下放行政处罚权的工作</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rPr>
        <w:t>做好相关执法工作的继续推进，严格按照要求，把下放的行政处罚权的衔接工作做实做细。</w:t>
      </w:r>
      <w:r>
        <w:rPr>
          <w:rFonts w:hint="eastAsia" w:ascii="仿宋_GB2312" w:hAnsi="仿宋_GB2312" w:eastAsia="仿宋_GB2312" w:cs="仿宋_GB2312"/>
          <w:b w:val="0"/>
          <w:bCs w:val="0"/>
          <w:sz w:val="32"/>
          <w:szCs w:val="32"/>
          <w:lang w:eastAsia="zh-CN"/>
        </w:rPr>
        <w:t>严格落实</w:t>
      </w:r>
      <w:r>
        <w:rPr>
          <w:rFonts w:hint="eastAsia" w:ascii="仿宋_GB2312" w:hAnsi="仿宋_GB2312" w:eastAsia="仿宋_GB2312" w:cs="仿宋_GB2312"/>
          <w:b w:val="0"/>
          <w:bCs w:val="0"/>
          <w:sz w:val="32"/>
          <w:szCs w:val="32"/>
        </w:rPr>
        <w:t>安全检查工作</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sz w:val="32"/>
          <w:szCs w:val="32"/>
        </w:rPr>
        <w:t>对发现的问题进行限期整改，及时消除安全隐患，以实际行动确保群众生命财产安全。</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方正舒体"/>
    <w:panose1 w:val="02000000000000000000"/>
    <w:charset w:val="86"/>
    <w:family w:val="auto"/>
    <w:pitch w:val="default"/>
    <w:sig w:usb0="00000000" w:usb1="00000000" w:usb2="00000012" w:usb3="00000000" w:csb0="00040001" w:csb1="00000000"/>
  </w:font>
  <w:font w:name="仿宋_GB2312">
    <w:altName w:val="仿宋"/>
    <w:panose1 w:val="02010609030001010101"/>
    <w:charset w:val="86"/>
    <w:family w:val="auto"/>
    <w:pitch w:val="default"/>
    <w:sig w:usb0="00000000" w:usb1="00000000" w:usb2="00000000" w:usb3="00000000" w:csb0="00040000" w:csb1="00000000"/>
  </w:font>
  <w:font w:name="楷体_GB2312">
    <w:altName w:val="楷体"/>
    <w:panose1 w:val="020106090300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1"/>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1"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ySV/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Z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TJJX/tIBAACeAwAADgAAAAAAAAABACAAAAAfAQAA&#10;ZHJzL2Uyb0RvYy54bWxQSwUGAAAAAAYABgBZAQAAYwUAAAAA&#10;">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13C46C5"/>
    <w:multiLevelType w:val="singleLevel"/>
    <w:tmpl w:val="F13C46C5"/>
    <w:lvl w:ilvl="0" w:tentative="0">
      <w:start w:val="3"/>
      <w:numFmt w:val="decimal"/>
      <w:suff w:val="nothing"/>
      <w:lvlText w:val="%1、"/>
      <w:lvlJc w:val="left"/>
      <w:rPr>
        <w:rFonts w:hint="default" w:ascii="黑体" w:hAnsi="黑体" w:eastAsia="黑体" w:cs="黑体"/>
        <w:sz w:val="32"/>
        <w:szCs w:val="32"/>
      </w:rPr>
    </w:lvl>
  </w:abstractNum>
  <w:abstractNum w:abstractNumId="1">
    <w:nsid w:val="43554671"/>
    <w:multiLevelType w:val="singleLevel"/>
    <w:tmpl w:val="43554671"/>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RiOGY5ZDlhMTMxNWRlODlmODNkZGEzYjg5NmUzZWYifQ=="/>
  </w:docVars>
  <w:rsids>
    <w:rsidRoot w:val="00000000"/>
    <w:rsid w:val="01192C1F"/>
    <w:rsid w:val="024B6E08"/>
    <w:rsid w:val="0328539C"/>
    <w:rsid w:val="033F6241"/>
    <w:rsid w:val="05740424"/>
    <w:rsid w:val="057523EE"/>
    <w:rsid w:val="05D42645"/>
    <w:rsid w:val="05F72E03"/>
    <w:rsid w:val="06110440"/>
    <w:rsid w:val="069074E0"/>
    <w:rsid w:val="07404510"/>
    <w:rsid w:val="0A7C6FB9"/>
    <w:rsid w:val="0DA675E9"/>
    <w:rsid w:val="0F81030D"/>
    <w:rsid w:val="10B93AD7"/>
    <w:rsid w:val="12D6271E"/>
    <w:rsid w:val="13C457CC"/>
    <w:rsid w:val="181D494B"/>
    <w:rsid w:val="1A554870"/>
    <w:rsid w:val="1B27488B"/>
    <w:rsid w:val="1B3515FD"/>
    <w:rsid w:val="1B356450"/>
    <w:rsid w:val="1BD45C69"/>
    <w:rsid w:val="1F9C084C"/>
    <w:rsid w:val="20774389"/>
    <w:rsid w:val="24D46CDA"/>
    <w:rsid w:val="26AC5AFE"/>
    <w:rsid w:val="27084A19"/>
    <w:rsid w:val="27D25350"/>
    <w:rsid w:val="29606D8E"/>
    <w:rsid w:val="2A570191"/>
    <w:rsid w:val="2BD575BF"/>
    <w:rsid w:val="2D346567"/>
    <w:rsid w:val="2F511653"/>
    <w:rsid w:val="300E30A0"/>
    <w:rsid w:val="31A16195"/>
    <w:rsid w:val="34945B3E"/>
    <w:rsid w:val="36D05553"/>
    <w:rsid w:val="394538AA"/>
    <w:rsid w:val="3AC0768C"/>
    <w:rsid w:val="3B4B164C"/>
    <w:rsid w:val="3BC35686"/>
    <w:rsid w:val="3E3B6C7A"/>
    <w:rsid w:val="3EF11BF5"/>
    <w:rsid w:val="3EFE4C27"/>
    <w:rsid w:val="40442B0E"/>
    <w:rsid w:val="42B07E29"/>
    <w:rsid w:val="444A64EC"/>
    <w:rsid w:val="45036BA0"/>
    <w:rsid w:val="4573227D"/>
    <w:rsid w:val="484C07B1"/>
    <w:rsid w:val="490B5F77"/>
    <w:rsid w:val="491375F4"/>
    <w:rsid w:val="4A7D4C52"/>
    <w:rsid w:val="4BC63C30"/>
    <w:rsid w:val="4D510618"/>
    <w:rsid w:val="4E710F72"/>
    <w:rsid w:val="51D3784E"/>
    <w:rsid w:val="52416EAD"/>
    <w:rsid w:val="539F3E8B"/>
    <w:rsid w:val="55990DAE"/>
    <w:rsid w:val="59080ABE"/>
    <w:rsid w:val="597564CE"/>
    <w:rsid w:val="598362E0"/>
    <w:rsid w:val="5AC32B55"/>
    <w:rsid w:val="5AF26F96"/>
    <w:rsid w:val="5B8816A9"/>
    <w:rsid w:val="5E565A8E"/>
    <w:rsid w:val="5EBB7FE7"/>
    <w:rsid w:val="601D4F28"/>
    <w:rsid w:val="638A0065"/>
    <w:rsid w:val="64D616D7"/>
    <w:rsid w:val="65293EFC"/>
    <w:rsid w:val="653A6672"/>
    <w:rsid w:val="67FA56DC"/>
    <w:rsid w:val="683F3A37"/>
    <w:rsid w:val="68F20AA9"/>
    <w:rsid w:val="69C42446"/>
    <w:rsid w:val="6C47110C"/>
    <w:rsid w:val="6D7101EF"/>
    <w:rsid w:val="6D995997"/>
    <w:rsid w:val="76277FE4"/>
    <w:rsid w:val="76F0487A"/>
    <w:rsid w:val="7C6F7FEF"/>
    <w:rsid w:val="7DDD36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宋体"/>
      <w:kern w:val="2"/>
      <w:sz w:val="21"/>
      <w:szCs w:val="22"/>
      <w:lang w:val="en-US" w:eastAsia="zh-CN" w:bidi="ar-SA"/>
    </w:rPr>
  </w:style>
  <w:style w:type="character" w:default="1" w:styleId="6">
    <w:name w:val="Default Paragraph Font"/>
    <w:qFormat/>
    <w:uiPriority w:val="1"/>
  </w:style>
  <w:style w:type="table" w:default="1" w:styleId="5">
    <w:name w:val="Normal Table"/>
    <w:qFormat/>
    <w:uiPriority w:val="99"/>
    <w:tblPr>
      <w:tblCellMar>
        <w:top w:w="0" w:type="dxa"/>
        <w:left w:w="108" w:type="dxa"/>
        <w:bottom w:w="0" w:type="dxa"/>
        <w:right w:w="108" w:type="dxa"/>
      </w:tblCellMar>
    </w:tblPr>
  </w:style>
  <w:style w:type="paragraph" w:styleId="2">
    <w:name w:val="footer"/>
    <w:basedOn w:val="1"/>
    <w:link w:val="9"/>
    <w:qFormat/>
    <w:uiPriority w:val="99"/>
    <w:pPr>
      <w:tabs>
        <w:tab w:val="center" w:pos="4153"/>
        <w:tab w:val="right" w:pos="8306"/>
      </w:tabs>
      <w:snapToGrid w:val="0"/>
      <w:jc w:val="left"/>
    </w:pPr>
    <w:rPr>
      <w:sz w:val="18"/>
      <w:szCs w:val="18"/>
    </w:rPr>
  </w:style>
  <w:style w:type="paragraph" w:styleId="3">
    <w:name w:val="header"/>
    <w:basedOn w:val="1"/>
    <w:link w:val="8"/>
    <w:qFormat/>
    <w:uiPriority w:val="99"/>
    <w:pP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szCs w:val="24"/>
    </w:rPr>
  </w:style>
  <w:style w:type="paragraph" w:styleId="7">
    <w:name w:val="List Paragraph"/>
    <w:basedOn w:val="1"/>
    <w:qFormat/>
    <w:uiPriority w:val="34"/>
    <w:pPr>
      <w:ind w:firstLine="420" w:firstLineChars="200"/>
    </w:pPr>
  </w:style>
  <w:style w:type="character" w:customStyle="1" w:styleId="8">
    <w:name w:val="页眉 字符"/>
    <w:basedOn w:val="6"/>
    <w:link w:val="3"/>
    <w:qFormat/>
    <w:uiPriority w:val="99"/>
    <w:rPr>
      <w:sz w:val="18"/>
      <w:szCs w:val="18"/>
    </w:rPr>
  </w:style>
  <w:style w:type="character" w:customStyle="1" w:styleId="9">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2631</Words>
  <Characters>2685</Characters>
  <Paragraphs>22</Paragraphs>
  <TotalTime>5</TotalTime>
  <ScaleCrop>false</ScaleCrop>
  <LinksUpToDate>false</LinksUpToDate>
  <CharactersWithSpaces>2685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2023-07-17T20:54:00Z</dcterms:created>
  <dc:creator>Administrator</dc:creator>
  <cp:lastModifiedBy>HP</cp:lastModifiedBy>
  <cp:lastPrinted>2023-08-25T00:21:00Z</cp:lastPrinted>
  <dcterms:modified xsi:type="dcterms:W3CDTF">2023-11-12T04:49:06Z</dcterms:modified>
  <cp:revision>288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E6947394157427B12C2DE764E3F16EE0</vt:lpwstr>
  </property>
</Properties>
</file>