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80"/>
        <w:jc w:val="center"/>
        <w:rPr/>
      </w:pPr>
      <w:r>
        <w:rPr>
          <w:sz w:val="24"/>
        </w:rPr>
        <w:t>2023年党建工作意识形态工作检查内容</w:t>
      </w:r>
    </w:p>
    <w:p>
      <w:pPr>
        <w:pStyle w:val="style0"/>
        <w:spacing w:after="80"/>
        <w:jc w:val="both"/>
        <w:rPr/>
      </w:pPr>
      <w:r>
        <w:rPr>
          <w:sz w:val="24"/>
        </w:rPr>
        <w:t>意识形态档案检查内容</w:t>
      </w:r>
    </w:p>
    <w:p>
      <w:pPr>
        <w:pStyle w:val="style0"/>
        <w:spacing w:after="80"/>
        <w:jc w:val="both"/>
        <w:rPr/>
      </w:pPr>
      <w:r>
        <w:rPr>
          <w:sz w:val="24"/>
        </w:rPr>
        <w:t>1、2023年上半年意识形态会议记录</w:t>
      </w:r>
    </w:p>
    <w:p>
      <w:pPr>
        <w:pStyle w:val="style0"/>
        <w:spacing w:after="80"/>
        <w:jc w:val="left"/>
        <w:rPr/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2022年意识形态领域情况通报会议记录(向党员通报)</w:t>
      </w:r>
    </w:p>
    <w:p>
      <w:pPr>
        <w:pStyle w:val="style0"/>
        <w:spacing w:after="80"/>
        <w:jc w:val="both"/>
        <w:rPr/>
      </w:pPr>
      <w:r>
        <w:rPr>
          <w:sz w:val="21"/>
        </w:rPr>
        <w:t>3图书借阅记录</w:t>
      </w:r>
    </w:p>
    <w:p>
      <w:pPr>
        <w:pStyle w:val="style0"/>
        <w:spacing w:after="80"/>
        <w:jc w:val="left"/>
        <w:rPr/>
      </w:pPr>
      <w:r>
        <w:rPr>
          <w:sz w:val="24"/>
          <w:lang w:val="en-US"/>
        </w:rPr>
        <w:t>4</w:t>
      </w:r>
      <w:r>
        <w:rPr>
          <w:rFonts w:hint="eastAsia"/>
          <w:sz w:val="24"/>
          <w:lang w:val="en-US" w:eastAsia="zh-CN"/>
        </w:rPr>
        <w:t>、</w:t>
      </w:r>
      <w:r>
        <w:rPr>
          <w:sz w:val="24"/>
        </w:rPr>
        <w:t>2023年意识形态三清单问题清单、措施清单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责任</w:t>
      </w:r>
      <w:r>
        <w:rPr>
          <w:rFonts w:hint="eastAsia"/>
          <w:sz w:val="24"/>
          <w:lang w:eastAsia="zh-CN"/>
        </w:rPr>
        <w:t>清单</w:t>
      </w:r>
    </w:p>
    <w:p>
      <w:pPr>
        <w:pStyle w:val="style0"/>
        <w:spacing w:after="80"/>
        <w:jc w:val="both"/>
        <w:rPr/>
      </w:pPr>
      <w:r>
        <w:rPr>
          <w:sz w:val="24"/>
          <w:lang w:val="en-US"/>
        </w:rPr>
        <w:t>5</w:t>
      </w:r>
      <w:r>
        <w:rPr>
          <w:rFonts w:hint="eastAsia"/>
          <w:sz w:val="24"/>
          <w:lang w:val="en-US" w:eastAsia="zh-CN"/>
        </w:rPr>
        <w:t>、</w:t>
      </w:r>
      <w:r>
        <w:rPr>
          <w:sz w:val="24"/>
        </w:rPr>
        <w:t>村级宣传员网络评论员网络舆情信息员</w:t>
      </w:r>
      <w:r>
        <w:rPr>
          <w:rFonts w:hint="eastAsia"/>
          <w:sz w:val="24"/>
          <w:lang w:eastAsia="zh-CN"/>
        </w:rPr>
        <w:t xml:space="preserve">  </w:t>
      </w:r>
      <w:r>
        <w:rPr>
          <w:sz w:val="24"/>
        </w:rPr>
        <w:t>表</w:t>
      </w:r>
    </w:p>
    <w:p>
      <w:pPr>
        <w:pStyle w:val="style0"/>
        <w:spacing w:after="80"/>
        <w:ind w:right="0"/>
        <w:jc w:val="both"/>
        <w:rPr/>
      </w:pPr>
      <w:r>
        <w:rPr>
          <w:sz w:val="24"/>
        </w:rPr>
        <w:t>6、意识形态学习内容(习近平对网络安全和信息化工作重要指示精神学习会议记录)</w:t>
      </w:r>
    </w:p>
    <w:p>
      <w:pPr>
        <w:pStyle w:val="style0"/>
        <w:spacing w:after="80"/>
        <w:jc w:val="left"/>
        <w:rPr/>
      </w:pPr>
      <w:r>
        <w:rPr>
          <w:sz w:val="24"/>
        </w:rPr>
        <w:t>7、半年意识形态测试试卷(两委班子答题，笔体不能一样)</w:t>
      </w:r>
    </w:p>
    <w:p>
      <w:pPr>
        <w:pStyle w:val="style0"/>
        <w:spacing w:after="80"/>
        <w:jc w:val="both"/>
        <w:rPr/>
      </w:pPr>
      <w:r>
        <w:rPr>
          <w:sz w:val="21"/>
        </w:rPr>
        <w:t>8</w:t>
      </w:r>
      <w:r>
        <w:rPr>
          <w:rFonts w:hint="eastAsia"/>
          <w:sz w:val="21"/>
          <w:lang w:eastAsia="zh-CN"/>
        </w:rPr>
        <w:t>、</w:t>
      </w:r>
      <w:r>
        <w:rPr>
          <w:sz w:val="21"/>
        </w:rPr>
        <w:t>实践站重点任务清单</w:t>
      </w:r>
    </w:p>
    <w:p>
      <w:pPr>
        <w:pStyle w:val="style0"/>
        <w:spacing w:after="80"/>
        <w:jc w:val="both"/>
        <w:rPr/>
      </w:pPr>
      <w:r>
        <w:rPr>
          <w:sz w:val="24"/>
          <w:lang w:val="en-US"/>
        </w:rPr>
        <w:t>9</w:t>
      </w:r>
      <w:r>
        <w:rPr>
          <w:rFonts w:hint="eastAsia"/>
          <w:sz w:val="24"/>
          <w:lang w:val="en-US" w:eastAsia="zh-CN"/>
        </w:rPr>
        <w:t>、</w:t>
      </w:r>
      <w:r>
        <w:rPr>
          <w:sz w:val="24"/>
        </w:rPr>
        <w:t>实践站支部书记任务清单</w:t>
      </w:r>
    </w:p>
    <w:p>
      <w:pPr>
        <w:pStyle w:val="style0"/>
        <w:spacing w:after="80"/>
        <w:ind w:left="6803"/>
        <w:jc w:val="both"/>
        <w:rPr/>
      </w:pPr>
    </w:p>
    <w:p>
      <w:pPr>
        <w:pStyle w:val="style0"/>
        <w:spacing w:after="80"/>
        <w:jc w:val="both"/>
        <w:rPr/>
      </w:pPr>
      <w:r>
        <w:rPr>
          <w:sz w:val="21"/>
          <w:lang w:val="en-US"/>
        </w:rPr>
        <w:t>10</w:t>
      </w:r>
      <w:r>
        <w:rPr>
          <w:rFonts w:hint="eastAsia"/>
          <w:sz w:val="21"/>
          <w:lang w:val="en-US" w:eastAsia="zh-CN"/>
        </w:rPr>
        <w:t>、</w:t>
      </w:r>
      <w:r>
        <w:rPr>
          <w:sz w:val="21"/>
        </w:rPr>
        <w:t>每季度开展一次的群众需求征集台账</w:t>
      </w:r>
    </w:p>
    <w:p>
      <w:pPr>
        <w:pStyle w:val="style0"/>
        <w:spacing w:after="80"/>
        <w:jc w:val="both"/>
        <w:rPr/>
      </w:pPr>
      <w:r>
        <w:rPr>
          <w:sz w:val="24"/>
        </w:rPr>
        <w:t>1</w:t>
      </w:r>
      <w:r>
        <w:rPr>
          <w:sz w:val="24"/>
          <w:lang w:val="en-US"/>
        </w:rPr>
        <w:t>1</w:t>
      </w:r>
      <w:r>
        <w:rPr>
          <w:sz w:val="24"/>
        </w:rPr>
        <w:t>、每个月</w:t>
      </w:r>
      <w:r>
        <w:rPr>
          <w:rFonts w:hint="eastAsia"/>
          <w:sz w:val="24"/>
          <w:lang w:eastAsia="zh-CN"/>
        </w:rPr>
        <w:t>至少</w:t>
      </w:r>
      <w:r>
        <w:rPr>
          <w:sz w:val="24"/>
        </w:rPr>
        <w:t>两次的新时代文明实践活动记录</w:t>
      </w:r>
    </w:p>
    <w:p>
      <w:pPr>
        <w:pStyle w:val="style0"/>
        <w:spacing w:after="80"/>
        <w:jc w:val="both"/>
        <w:rPr/>
      </w:pPr>
      <w:r>
        <w:rPr>
          <w:sz w:val="24"/>
        </w:rPr>
        <w:t>其它必须要有的学习容:</w:t>
      </w:r>
    </w:p>
    <w:p>
      <w:pPr>
        <w:pStyle w:val="style0"/>
        <w:spacing w:after="80"/>
        <w:ind w:right="0"/>
        <w:jc w:val="both"/>
        <w:rPr/>
      </w:pPr>
      <w:r>
        <w:rPr>
          <w:sz w:val="24"/>
        </w:rPr>
        <w:t>1</w:t>
      </w:r>
      <w:r>
        <w:rPr>
          <w:sz w:val="24"/>
          <w:lang w:val="en-US"/>
        </w:rPr>
        <w:t>2</w:t>
      </w:r>
      <w:r>
        <w:rPr>
          <w:sz w:val="24"/>
        </w:rPr>
        <w:t>、习近平考察内蒙古重要讲话精神学习和宣讲的记录(要有图片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图片上要有会标或条幅)</w:t>
      </w:r>
    </w:p>
    <w:p>
      <w:pPr>
        <w:pStyle w:val="style0"/>
        <w:spacing w:after="80"/>
        <w:jc w:val="both"/>
        <w:rPr/>
      </w:pPr>
      <w:r>
        <w:rPr>
          <w:sz w:val="24"/>
        </w:rPr>
        <w:t>1</w:t>
      </w:r>
      <w:r>
        <w:rPr>
          <w:sz w:val="24"/>
          <w:lang w:val="en-US"/>
        </w:rPr>
        <w:t>3</w:t>
      </w:r>
      <w:r>
        <w:rPr>
          <w:sz w:val="24"/>
        </w:rPr>
        <w:t>、周例会学习情况</w:t>
      </w:r>
    </w:p>
    <w:p>
      <w:pPr>
        <w:pStyle w:val="style0"/>
        <w:spacing w:after="80"/>
        <w:jc w:val="both"/>
        <w:rPr/>
      </w:pPr>
      <w:r>
        <w:rPr>
          <w:sz w:val="24"/>
        </w:rPr>
        <w:t>1</w:t>
      </w:r>
      <w:r>
        <w:rPr>
          <w:sz w:val="24"/>
          <w:lang w:val="en-US"/>
        </w:rPr>
        <w:t>4</w:t>
      </w:r>
      <w:r>
        <w:rPr>
          <w:sz w:val="24"/>
        </w:rPr>
        <w:t>、党的二十大精神</w:t>
      </w:r>
    </w:p>
    <w:p>
      <w:pPr>
        <w:pStyle w:val="style0"/>
        <w:spacing w:after="80"/>
        <w:ind w:right="0"/>
        <w:jc w:val="both"/>
        <w:rPr/>
      </w:pPr>
      <w:r>
        <w:rPr>
          <w:sz w:val="24"/>
        </w:rPr>
        <w:t>1</w:t>
      </w:r>
      <w:r>
        <w:rPr>
          <w:sz w:val="24"/>
          <w:lang w:val="en-US"/>
        </w:rPr>
        <w:t>5</w:t>
      </w:r>
      <w:r>
        <w:rPr>
          <w:sz w:val="24"/>
        </w:rPr>
        <w:t>、铸牢中华民族共同体意识(可以学习习近</w:t>
      </w:r>
      <w:r>
        <w:rPr>
          <w:rFonts w:hint="eastAsia"/>
          <w:sz w:val="24"/>
          <w:lang w:eastAsia="zh-CN"/>
        </w:rPr>
        <w:t>平</w:t>
      </w:r>
      <w:r>
        <w:rPr>
          <w:sz w:val="24"/>
        </w:rPr>
        <w:t>在民族工作作谈会上的讲话、内蒙古民族团结进步条例)</w:t>
      </w:r>
    </w:p>
    <w:p>
      <w:pPr>
        <w:pStyle w:val="style0"/>
        <w:spacing w:after="80"/>
        <w:jc w:val="both"/>
        <w:rPr/>
      </w:pPr>
      <w:r>
        <w:rPr>
          <w:sz w:val="24"/>
        </w:rPr>
        <w:t>1</w:t>
      </w:r>
      <w:r>
        <w:rPr>
          <w:sz w:val="24"/>
          <w:lang w:val="en-US"/>
        </w:rPr>
        <w:t>6</w:t>
      </w:r>
      <w:r>
        <w:rPr>
          <w:sz w:val="24"/>
        </w:rPr>
        <w:t>、内蒙古自治区宗教事务条例</w:t>
      </w:r>
    </w:p>
    <w:p>
      <w:pPr>
        <w:pStyle w:val="style0"/>
        <w:spacing w:after="80"/>
        <w:jc w:val="both"/>
        <w:rPr/>
      </w:pPr>
      <w:r>
        <w:rPr>
          <w:sz w:val="24"/>
        </w:rPr>
        <w:t>1</w:t>
      </w:r>
      <w:r>
        <w:rPr>
          <w:sz w:val="24"/>
          <w:lang w:val="en-US"/>
        </w:rPr>
        <w:t>7</w:t>
      </w:r>
      <w:r>
        <w:rPr>
          <w:sz w:val="24"/>
        </w:rPr>
        <w:t>、自治区党委关于全方位建设自治区的决定</w:t>
      </w:r>
    </w:p>
    <w:p>
      <w:pPr>
        <w:pStyle w:val="style0"/>
        <w:spacing w:after="80"/>
        <w:jc w:val="left"/>
        <w:rPr/>
      </w:pPr>
      <w:r>
        <w:rPr>
          <w:sz w:val="24"/>
        </w:rPr>
        <w:t>1</w:t>
      </w:r>
      <w:r>
        <w:rPr>
          <w:sz w:val="24"/>
          <w:lang w:val="en-US"/>
        </w:rPr>
        <w:t>8</w:t>
      </w:r>
      <w:r>
        <w:rPr>
          <w:sz w:val="24"/>
        </w:rPr>
        <w:t>、上半年至少要有3次党史学习记录，全年不少于6次</w:t>
      </w:r>
    </w:p>
    <w:p>
      <w:pPr>
        <w:pStyle w:val="style0"/>
        <w:spacing w:after="80"/>
        <w:jc w:val="both"/>
        <w:rPr/>
      </w:pPr>
      <w:r>
        <w:rPr>
          <w:sz w:val="24"/>
        </w:rPr>
        <w:t>1</w:t>
      </w:r>
      <w:r>
        <w:rPr>
          <w:sz w:val="24"/>
          <w:lang w:val="en-US"/>
        </w:rPr>
        <w:t>9</w:t>
      </w:r>
      <w:r>
        <w:rPr>
          <w:sz w:val="24"/>
        </w:rPr>
        <w:t>、三会一课记录</w:t>
      </w:r>
    </w:p>
    <w:p>
      <w:pPr>
        <w:pStyle w:val="style0"/>
        <w:spacing w:after="80"/>
        <w:jc w:val="both"/>
        <w:rPr/>
      </w:pPr>
      <w:r>
        <w:rPr>
          <w:sz w:val="24"/>
          <w:lang w:val="en-US"/>
        </w:rPr>
        <w:t>20</w:t>
      </w:r>
      <w:r>
        <w:rPr>
          <w:sz w:val="24"/>
        </w:rPr>
        <w:t>、主题党日活动记录</w:t>
      </w:r>
    </w:p>
    <w:p>
      <w:pPr>
        <w:pStyle w:val="style0"/>
        <w:spacing w:after="80"/>
        <w:jc w:val="both"/>
        <w:rPr/>
      </w:pPr>
      <w:r>
        <w:rPr>
          <w:sz w:val="24"/>
        </w:rPr>
        <w:t>2</w:t>
      </w:r>
      <w:r>
        <w:rPr>
          <w:sz w:val="24"/>
          <w:lang w:val="en-US"/>
        </w:rPr>
        <w:t>1</w:t>
      </w:r>
      <w:r>
        <w:rPr>
          <w:sz w:val="24"/>
        </w:rPr>
        <w:t>、通辽农村牧区基层党建应知应会手册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宋体" w:eastAsia="宋体" w:hAnsi="宋体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fe4c907-e524-41e9-9fa1-f3387927c0d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1244320-b6ff-445d-8fe3-093f7d779d19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cf7b9bd8-66ed-4183-94d7-bed55d00a8db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b822caaf-62c9-483d-8093-5672193f7b9f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17a523ef-f85c-42d2-b719-f018106b7f0e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65cab295-d06c-4676-a327-113b976c7f30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720100ef-cfcf-4fef-9c07-ba76d60edc60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4f0cae40-ab25-4467-868a-47729262d3ef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ba4715a0-715c-447a-a3c6-d6eba18be9c5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701abb6b-3a9b-49a2-87e2-81ef5c292b6a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5abcde3f-9041-4935-8ad1-9de5f8ac1ca1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7470d7fa-4585-4c8f-a828-cf9e2af6d69c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862c27ab-09b8-4cc2-b09f-b7dc300efc79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ad300983-6a4e-4169-bf94-bc0b7dbf4ad3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457</Words>
  <Pages>1</Pages>
  <Characters>481</Characters>
  <Application>WPS Office</Application>
  <DocSecurity>0</DocSecurity>
  <Paragraphs>25</Paragraphs>
  <ScaleCrop>false</ScaleCrop>
  <LinksUpToDate>false</LinksUpToDate>
  <CharactersWithSpaces>483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PHU110</lastModifiedBy>
  <dcterms:modified xsi:type="dcterms:W3CDTF">2023-09-01T03:19:40Z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23002bbecb1c42118e02afe8fc548da4</vt:lpwstr>
  </property>
</Properties>
</file>