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snapToGrid/>
        <w:spacing w:line="360" w:lineRule="auto"/>
        <w:ind w:left="0"/>
        <w:jc w:val="center"/>
        <w:textAlignment w:val="auto"/>
        <w:rPr>
          <w:rFonts w:ascii="黑体" w:hAnsi="黑体" w:eastAsia="黑体"/>
          <w:sz w:val="96"/>
        </w:rPr>
      </w:pPr>
      <w:r>
        <w:rPr>
          <w:rFonts w:hint="eastAsia" w:ascii="黑体" w:hAnsi="黑体" w:eastAsia="黑体"/>
          <w:sz w:val="96"/>
        </w:rPr>
        <w:t>卫生健康信息</w:t>
      </w:r>
    </w:p>
    <w:p>
      <w:pPr>
        <w:pStyle w:val="10"/>
        <w:snapToGrid/>
        <w:spacing w:line="360" w:lineRule="auto"/>
        <w:ind w:left="0"/>
        <w:jc w:val="center"/>
        <w:textAlignment w:val="auto"/>
        <w:rPr>
          <w:rFonts w:ascii="仿宋_GB2312" w:hAnsi="仿宋_GB2312" w:eastAsia="仿宋_GB2312" w:cs="仿宋_GB2312"/>
          <w:sz w:val="32"/>
          <w:szCs w:val="32"/>
        </w:rPr>
      </w:pPr>
    </w:p>
    <w:p>
      <w:pPr>
        <w:pStyle w:val="10"/>
        <w:snapToGrid/>
        <w:spacing w:line="360" w:lineRule="auto"/>
        <w:ind w:left="0"/>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期）</w:t>
      </w:r>
    </w:p>
    <w:p>
      <w:pPr>
        <w:pStyle w:val="10"/>
        <w:snapToGrid/>
        <w:spacing w:line="360" w:lineRule="auto"/>
        <w:ind w:left="0"/>
        <w:jc w:val="center"/>
        <w:textAlignment w:val="auto"/>
        <w:rPr>
          <w:rFonts w:ascii="仿宋_GB2312" w:hAnsi="仿宋_GB2312" w:eastAsia="仿宋_GB2312" w:cs="仿宋_GB2312"/>
          <w:sz w:val="32"/>
          <w:szCs w:val="32"/>
        </w:rPr>
      </w:pPr>
    </w:p>
    <w:p>
      <w:pPr>
        <w:spacing w:line="560" w:lineRule="exact"/>
        <w:jc w:val="center"/>
        <w:rPr>
          <w:rFonts w:ascii="方正小标宋简体" w:hAnsi="方正小标宋简体" w:eastAsia="方正小标宋简体" w:cs="方正小标宋简体"/>
          <w:sz w:val="44"/>
          <w:szCs w:val="44"/>
        </w:rPr>
      </w:pPr>
      <w:r>
        <w:rPr>
          <w:rFonts w:hint="eastAsia" w:ascii="仿宋_GB2312" w:hAnsi="Calibri" w:eastAsia="仿宋_GB2312" w:cs="Times New Roman"/>
          <w:sz w:val="32"/>
          <w:u w:val="single"/>
        </w:rPr>
        <w:t xml:space="preserve">奈曼旗卫健系统党委 </w:t>
      </w:r>
      <w:r>
        <w:rPr>
          <w:rFonts w:hint="eastAsia" w:ascii="仿宋_GB2312" w:hAnsi="Calibri" w:eastAsia="仿宋_GB2312" w:cs="Times New Roman"/>
          <w:sz w:val="32"/>
          <w:u w:val="single"/>
          <w:lang w:val="en-US" w:eastAsia="zh-CN"/>
        </w:rPr>
        <w:t xml:space="preserve">  </w:t>
      </w:r>
      <w:r>
        <w:rPr>
          <w:rFonts w:hint="eastAsia" w:ascii="仿宋_GB2312" w:hAnsi="Calibri" w:eastAsia="仿宋_GB2312" w:cs="Times New Roman"/>
          <w:sz w:val="32"/>
          <w:u w:val="single"/>
        </w:rPr>
        <w:t>奈曼旗卫健委</w:t>
      </w:r>
      <w:r>
        <w:rPr>
          <w:rFonts w:hint="eastAsia" w:ascii="仿宋_GB2312" w:hAnsi="Calibri" w:eastAsia="仿宋_GB2312" w:cs="Times New Roman"/>
          <w:sz w:val="32"/>
          <w:u w:val="single"/>
          <w:lang w:val="en-US" w:eastAsia="zh-CN"/>
        </w:rPr>
        <w:t xml:space="preserve">   </w:t>
      </w:r>
      <w:r>
        <w:rPr>
          <w:rFonts w:hint="eastAsia" w:ascii="仿宋_GB2312" w:hAnsi="Calibri" w:eastAsia="仿宋_GB2312" w:cs="Times New Roman"/>
          <w:sz w:val="32"/>
          <w:u w:val="single"/>
        </w:rPr>
        <w:t>20</w:t>
      </w:r>
      <w:r>
        <w:rPr>
          <w:rFonts w:hint="eastAsia" w:ascii="仿宋_GB2312" w:hAnsi="Calibri" w:eastAsia="仿宋_GB2312" w:cs="Times New Roman"/>
          <w:sz w:val="32"/>
          <w:u w:val="single"/>
          <w:lang w:val="en-US" w:eastAsia="zh-CN"/>
        </w:rPr>
        <w:t>23</w:t>
      </w:r>
      <w:r>
        <w:rPr>
          <w:rFonts w:hint="eastAsia" w:ascii="仿宋_GB2312" w:hAnsi="Calibri" w:eastAsia="仿宋_GB2312" w:cs="Times New Roman"/>
          <w:sz w:val="32"/>
          <w:u w:val="single"/>
        </w:rPr>
        <w:t>年</w:t>
      </w:r>
      <w:r>
        <w:rPr>
          <w:rFonts w:hint="eastAsia" w:ascii="仿宋_GB2312" w:hAnsi="Calibri" w:eastAsia="仿宋_GB2312" w:cs="Times New Roman"/>
          <w:sz w:val="32"/>
          <w:u w:val="single"/>
          <w:lang w:val="en-US" w:eastAsia="zh-CN"/>
        </w:rPr>
        <w:t>8月10</w:t>
      </w:r>
      <w:r>
        <w:rPr>
          <w:rFonts w:hint="eastAsia" w:ascii="仿宋_GB2312" w:hAnsi="Calibri" w:eastAsia="仿宋_GB2312" w:cs="Times New Roman"/>
          <w:sz w:val="32"/>
          <w:u w:val="single"/>
        </w:rPr>
        <w:t>日</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eastAsia="zh-CN"/>
        </w:rPr>
        <w:t>【引进先进设备 提升能力建设】我旗引进首台液基细胞</w:t>
      </w:r>
      <w:bookmarkStart w:id="0" w:name="_GoBack"/>
      <w:bookmarkEnd w:id="0"/>
      <w:r>
        <w:rPr>
          <w:rFonts w:hint="eastAsia" w:ascii="方正小标宋简体" w:hAnsi="方正小标宋简体" w:eastAsia="方正小标宋简体" w:cs="方正小标宋简体"/>
          <w:sz w:val="44"/>
          <w:szCs w:val="44"/>
          <w:highlight w:val="none"/>
          <w:lang w:eastAsia="zh-CN"/>
        </w:rPr>
        <w:t>诊断系统</w:t>
      </w:r>
      <w:r>
        <w:rPr>
          <w:rFonts w:hint="eastAsia" w:ascii="方正小标宋简体" w:hAnsi="方正小标宋简体" w:eastAsia="方正小标宋简体" w:cs="方正小标宋简体"/>
          <w:sz w:val="44"/>
          <w:szCs w:val="44"/>
          <w:highlight w:val="none"/>
          <w:lang w:val="en-US" w:eastAsia="zh-CN"/>
        </w:rPr>
        <w:t xml:space="preserve"> 提升宫颈癌筛查准确率</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highlight w:val="none"/>
          <w:lang w:eastAsia="zh-CN"/>
        </w:rPr>
      </w:pPr>
    </w:p>
    <w:p>
      <w:pPr>
        <w:pStyle w:val="2"/>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为提升宫颈癌筛查服务质量，确保筛查效果，</w:t>
      </w:r>
      <w:r>
        <w:rPr>
          <w:rFonts w:hint="eastAsia" w:ascii="仿宋_GB2312" w:hAnsi="仿宋_GB2312" w:eastAsia="仿宋_GB2312" w:cs="仿宋_GB2312"/>
          <w:sz w:val="32"/>
          <w:szCs w:val="32"/>
          <w:highlight w:val="none"/>
          <w:lang w:val="en-US" w:eastAsia="zh-CN"/>
        </w:rPr>
        <w:t>8月5日，</w:t>
      </w:r>
      <w:r>
        <w:rPr>
          <w:rFonts w:hint="eastAsia" w:ascii="仿宋_GB2312" w:hAnsi="仿宋_GB2312" w:eastAsia="仿宋_GB2312" w:cs="仿宋_GB2312"/>
          <w:sz w:val="32"/>
          <w:szCs w:val="32"/>
          <w:highlight w:val="none"/>
          <w:lang w:eastAsia="zh-CN"/>
        </w:rPr>
        <w:t>奈曼旗妇幼保健计划生育服务中心引进奈曼旗首台TCT液基细胞制片染色一体机和玻片扫描影像分析系统赋能宫颈癌筛查。</w:t>
      </w:r>
    </w:p>
    <w:p>
      <w:pPr>
        <w:pStyle w:val="2"/>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液基薄层细胞检测也就是我们常说的TCT，是目前国际上最先进的一种宫颈细胞学检查技术，与传统的宫颈制片巴氏涂片检查相比明显提高了标本的满意度及宫颈异常细胞检出率，TCT技术是应用于妇女宫颈癌的筛查最先进的技术。</w:t>
      </w:r>
    </w:p>
    <w:p>
      <w:pPr>
        <w:pStyle w:val="2"/>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drawing>
          <wp:inline distT="0" distB="0" distL="114300" distR="114300">
            <wp:extent cx="5274310" cy="3794760"/>
            <wp:effectExtent l="0" t="0" r="13970" b="0"/>
            <wp:docPr id="1" name="图片 1" descr="71dca6684faefc34f060e04503d4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71dca6684faefc34f060e04503d4680"/>
                    <pic:cNvPicPr>
                      <a:picLocks noChangeAspect="1"/>
                    </pic:cNvPicPr>
                  </pic:nvPicPr>
                  <pic:blipFill>
                    <a:blip r:embed="rId4"/>
                    <a:stretch>
                      <a:fillRect/>
                    </a:stretch>
                  </pic:blipFill>
                  <pic:spPr>
                    <a:xfrm>
                      <a:off x="0" y="0"/>
                      <a:ext cx="5274310" cy="3794760"/>
                    </a:xfrm>
                    <a:prstGeom prst="rect">
                      <a:avLst/>
                    </a:prstGeom>
                  </pic:spPr>
                </pic:pic>
              </a:graphicData>
            </a:graphic>
          </wp:inline>
        </w:drawing>
      </w:r>
    </w:p>
    <w:p>
      <w:pPr>
        <w:pStyle w:val="2"/>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drawing>
          <wp:inline distT="0" distB="0" distL="114300" distR="114300">
            <wp:extent cx="5274310" cy="4073525"/>
            <wp:effectExtent l="0" t="0" r="13970" b="10795"/>
            <wp:docPr id="2" name="图片 2" descr="c5f2d8f691461a75e72ce96b4ce1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5f2d8f691461a75e72ce96b4ce1974"/>
                    <pic:cNvPicPr>
                      <a:picLocks noChangeAspect="1"/>
                    </pic:cNvPicPr>
                  </pic:nvPicPr>
                  <pic:blipFill>
                    <a:blip r:embed="rId5"/>
                    <a:stretch>
                      <a:fillRect/>
                    </a:stretch>
                  </pic:blipFill>
                  <pic:spPr>
                    <a:xfrm>
                      <a:off x="0" y="0"/>
                      <a:ext cx="5274310" cy="4073525"/>
                    </a:xfrm>
                    <a:prstGeom prst="rect">
                      <a:avLst/>
                    </a:prstGeom>
                  </pic:spPr>
                </pic:pic>
              </a:graphicData>
            </a:graphic>
          </wp:inline>
        </w:drawing>
      </w:r>
    </w:p>
    <w:p>
      <w:pPr>
        <w:pStyle w:val="2"/>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为提高细胞学诊断水平，奈曼旗妇幼保健计划生育服务中心积极鼓励医生外出进修，还定期组织诊断医生和技术人员进行专业培训，确保规范操作和准确诊断。</w:t>
      </w:r>
    </w:p>
    <w:p>
      <w:pPr>
        <w:pStyle w:val="2"/>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以“严谨审慎，精准诊断”为中心，努力提升诊疗水平，是奈曼旗妇幼保健计划生育服务中心的使命与担当，他们也将继续坚持探索更为优质便捷的医疗诊断服务，持续提升能力建设，以精湛的技术、优质的服务、良好的医德、高效的管理，为全旗妇女儿童健康保驾护航。</w:t>
      </w:r>
    </w:p>
    <w:p>
      <w:pPr>
        <w:pStyle w:val="2"/>
        <w:rPr>
          <w:rFonts w:hint="eastAsia" w:ascii="仿宋_GB2312" w:hAnsi="仿宋_GB2312" w:eastAsia="仿宋_GB2312" w:cs="仿宋_GB2312"/>
          <w:sz w:val="32"/>
          <w:szCs w:val="32"/>
          <w:highlight w:val="none"/>
          <w:lang w:eastAsia="zh-CN"/>
        </w:rPr>
      </w:pPr>
    </w:p>
    <w:p>
      <w:pPr>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供稿：卫健委于文君</w:t>
      </w:r>
    </w:p>
    <w:p>
      <w:pPr>
        <w:jc w:val="righ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审核：卫健委孙晓华</w:t>
      </w:r>
    </w:p>
    <w:p>
      <w:pPr>
        <w:wordWrap w:val="0"/>
        <w:jc w:val="righ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终审：卫健委孟繁彦</w:t>
      </w:r>
    </w:p>
    <w:p>
      <w:pPr>
        <w:pStyle w:val="2"/>
        <w:rPr>
          <w:rFonts w:hint="eastAsia" w:ascii="仿宋_GB2312" w:hAnsi="仿宋_GB2312" w:eastAsia="仿宋_GB2312" w:cs="仿宋_GB2312"/>
          <w:sz w:val="32"/>
          <w:szCs w:val="32"/>
          <w:highlight w:val="none"/>
          <w:lang w:eastAsia="zh-CN"/>
        </w:rPr>
      </w:pPr>
    </w:p>
    <w:p>
      <w:pPr>
        <w:pStyle w:val="2"/>
        <w:rPr>
          <w:rFonts w:hint="eastAsia" w:ascii="仿宋_GB2312" w:hAnsi="仿宋_GB2312" w:eastAsia="仿宋_GB2312" w:cs="仿宋_GB2312"/>
          <w:sz w:val="32"/>
          <w:szCs w:val="32"/>
          <w:highlight w:val="none"/>
          <w:lang w:eastAsia="zh-CN"/>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Y4NmQxMjEyMDk5YmIyYTMwMDlhZTM0NmRlOWM5NTYifQ=="/>
  </w:docVars>
  <w:rsids>
    <w:rsidRoot w:val="5572408F"/>
    <w:rsid w:val="0CD95E96"/>
    <w:rsid w:val="13AE7D5A"/>
    <w:rsid w:val="1DEC1BD6"/>
    <w:rsid w:val="406C6D15"/>
    <w:rsid w:val="416C3897"/>
    <w:rsid w:val="429F402B"/>
    <w:rsid w:val="54D50F2B"/>
    <w:rsid w:val="5572408F"/>
    <w:rsid w:val="7ADD07EF"/>
    <w:rsid w:val="7C2651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qFormat/>
    <w:uiPriority w:val="0"/>
    <w:pPr>
      <w:widowControl w:val="0"/>
      <w:jc w:val="both"/>
    </w:pPr>
    <w:rPr>
      <w:rFonts w:ascii="仿宋" w:hAnsi="Times New Roman" w:eastAsia="仿宋" w:cs="仿宋"/>
      <w:kern w:val="0"/>
      <w:sz w:val="24"/>
      <w:szCs w:val="24"/>
      <w:lang w:val="en-US" w:eastAsia="zh-CN" w:bidi="ar-SA"/>
    </w:rPr>
  </w:style>
  <w:style w:type="paragraph" w:styleId="4">
    <w:name w:val="Body Text Indent"/>
    <w:basedOn w:val="1"/>
    <w:unhideWhenUsed/>
    <w:qFormat/>
    <w:uiPriority w:val="99"/>
    <w:pPr>
      <w:ind w:left="420" w:leftChars="200"/>
    </w:p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6">
    <w:name w:val="Title"/>
    <w:basedOn w:val="1"/>
    <w:next w:val="1"/>
    <w:qFormat/>
    <w:uiPriority w:val="10"/>
    <w:pPr>
      <w:spacing w:before="240" w:after="60"/>
      <w:jc w:val="center"/>
      <w:outlineLvl w:val="0"/>
    </w:pPr>
    <w:rPr>
      <w:rFonts w:ascii="Arial" w:hAnsi="Arial"/>
      <w:b/>
      <w:sz w:val="32"/>
    </w:rPr>
  </w:style>
  <w:style w:type="paragraph" w:styleId="7">
    <w:name w:val="Body Text First Indent 2"/>
    <w:basedOn w:val="4"/>
    <w:unhideWhenUsed/>
    <w:qFormat/>
    <w:uiPriority w:val="99"/>
    <w:pPr>
      <w:ind w:firstLine="210" w:firstLineChars="200"/>
    </w:pPr>
    <w:rPr>
      <w:sz w:val="28"/>
    </w:rPr>
  </w:style>
  <w:style w:type="paragraph" w:customStyle="1" w:styleId="10">
    <w:name w:val="0"/>
    <w:qFormat/>
    <w:uiPriority w:val="0"/>
    <w:pPr>
      <w:widowControl/>
      <w:snapToGrid w:val="0"/>
      <w:spacing w:line="365" w:lineRule="atLeast"/>
      <w:ind w:left="1"/>
      <w:jc w:val="both"/>
      <w:textAlignment w:val="bottom"/>
    </w:pPr>
    <w:rPr>
      <w:rFonts w:ascii="Calibri" w:hAnsi="Calibri" w:eastAsia="宋体" w:cs="Times New Roman"/>
      <w:kern w:val="0"/>
      <w:sz w:val="20"/>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1038</Words>
  <Characters>1050</Characters>
  <Lines>0</Lines>
  <Paragraphs>0</Paragraphs>
  <TotalTime>12</TotalTime>
  <ScaleCrop>false</ScaleCrop>
  <LinksUpToDate>false</LinksUpToDate>
  <CharactersWithSpaces>1051</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2023-08-08T01:12:00Z</dcterms:created>
  <dc:creator>达摩利剑</dc:creator>
  <cp:lastModifiedBy>Administrator</cp:lastModifiedBy>
  <dcterms:modified xsi:type="dcterms:W3CDTF">2023-08-10T02:33:29Z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7538813F18CF4B7CAAC95E11CB032132_13</vt:lpwstr>
  </property>
</Properties>
</file>