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hint="eastAsia" w:ascii="Calibri" w:hAnsi="Calibri" w:eastAsia="微软雅黑" w:cs="宋体"/>
          <w:kern w:val="0"/>
          <w:szCs w:val="21"/>
        </w:rPr>
      </w:pPr>
      <w:bookmarkStart w:id="0" w:name="_GoBack"/>
      <w:r>
        <w:rPr>
          <w:rFonts w:hint="eastAsia" w:ascii="微软雅黑" w:hAnsi="微软雅黑" w:eastAsia="微软雅黑" w:cs="宋体"/>
          <w:color w:val="3D3C3C"/>
          <w:kern w:val="0"/>
          <w:sz w:val="28"/>
          <w:szCs w:val="36"/>
        </w:rPr>
        <w:t>奈曼旗城市管理</w:t>
      </w:r>
      <w:r>
        <w:rPr>
          <w:rFonts w:ascii="微软雅黑" w:hAnsi="微软雅黑" w:eastAsia="微软雅黑" w:cs="宋体"/>
          <w:color w:val="3D3C3C"/>
          <w:kern w:val="0"/>
          <w:sz w:val="28"/>
          <w:szCs w:val="36"/>
        </w:rPr>
        <w:t>综合行政执法局</w:t>
      </w:r>
      <w:r>
        <w:rPr>
          <w:rFonts w:hint="eastAsia" w:ascii="微软雅黑" w:hAnsi="微软雅黑" w:eastAsia="微软雅黑" w:cs="宋体"/>
          <w:color w:val="3D3C3C"/>
          <w:kern w:val="0"/>
          <w:sz w:val="28"/>
          <w:szCs w:val="36"/>
        </w:rPr>
        <w:t>关于</w:t>
      </w:r>
      <w:r>
        <w:rPr>
          <w:rFonts w:hint="eastAsia" w:ascii="微软雅黑" w:hAnsi="微软雅黑" w:eastAsia="微软雅黑" w:cs="宋体"/>
          <w:color w:val="3D3C3C"/>
          <w:kern w:val="0"/>
          <w:sz w:val="28"/>
          <w:szCs w:val="36"/>
          <w:lang w:eastAsia="zh-CN"/>
        </w:rPr>
        <w:t>杨金荣在奈曼旗</w:t>
      </w:r>
      <w:r>
        <w:rPr>
          <w:rFonts w:hint="eastAsia" w:ascii="微软雅黑" w:hAnsi="微软雅黑" w:eastAsia="微软雅黑" w:cs="宋体"/>
          <w:color w:val="3D3C3C"/>
          <w:kern w:val="0"/>
          <w:sz w:val="28"/>
          <w:szCs w:val="36"/>
        </w:rPr>
        <w:t>大镇</w:t>
      </w:r>
      <w:r>
        <w:rPr>
          <w:rFonts w:hint="eastAsia" w:ascii="微软雅黑" w:hAnsi="微软雅黑" w:eastAsia="微软雅黑" w:cs="宋体"/>
          <w:color w:val="3D3C3C"/>
          <w:kern w:val="0"/>
          <w:sz w:val="28"/>
          <w:szCs w:val="36"/>
          <w:lang w:eastAsia="zh-CN"/>
        </w:rPr>
        <w:t>人民广场从事设摊经营</w:t>
      </w:r>
      <w:r>
        <w:rPr>
          <w:rFonts w:hint="eastAsia" w:ascii="微软雅黑" w:hAnsi="微软雅黑" w:eastAsia="微软雅黑" w:cs="宋体"/>
          <w:color w:val="3D3C3C"/>
          <w:kern w:val="0"/>
          <w:sz w:val="28"/>
          <w:szCs w:val="36"/>
        </w:rPr>
        <w:t>的行政处罚</w:t>
      </w:r>
    </w:p>
    <w:bookmarkEnd w:id="0"/>
    <w:tbl>
      <w:tblPr>
        <w:tblStyle w:val="4"/>
        <w:tblW w:w="7650" w:type="dxa"/>
        <w:jc w:val="center"/>
        <w:tblLayout w:type="autofit"/>
        <w:tblCellMar>
          <w:top w:w="0" w:type="dxa"/>
          <w:left w:w="0" w:type="dxa"/>
          <w:bottom w:w="0" w:type="dxa"/>
          <w:right w:w="0" w:type="dxa"/>
        </w:tblCellMar>
      </w:tblPr>
      <w:tblGrid>
        <w:gridCol w:w="2171"/>
        <w:gridCol w:w="5479"/>
      </w:tblGrid>
      <w:tr>
        <w:tblPrEx>
          <w:tblCellMar>
            <w:top w:w="0" w:type="dxa"/>
            <w:left w:w="0" w:type="dxa"/>
            <w:bottom w:w="0" w:type="dxa"/>
            <w:right w:w="0" w:type="dxa"/>
          </w:tblCellMar>
        </w:tblPrEx>
        <w:trPr>
          <w:trHeight w:val="587" w:hRule="atLeast"/>
          <w:jc w:val="center"/>
        </w:trPr>
        <w:tc>
          <w:tcPr>
            <w:tcW w:w="2171" w:type="dxa"/>
            <w:tcBorders>
              <w:top w:val="single" w:color="auto" w:sz="8" w:space="0"/>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b/>
                <w:bCs/>
                <w:kern w:val="0"/>
                <w:sz w:val="24"/>
                <w:szCs w:val="24"/>
              </w:rPr>
              <w:t>行政相对人名称：</w:t>
            </w:r>
          </w:p>
        </w:tc>
        <w:tc>
          <w:tcPr>
            <w:tcW w:w="5479" w:type="dxa"/>
            <w:tcBorders>
              <w:top w:val="single" w:color="auto" w:sz="8" w:space="0"/>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杨金荣</w:t>
            </w:r>
          </w:p>
        </w:tc>
      </w:tr>
      <w:tr>
        <w:tblPrEx>
          <w:tblCellMar>
            <w:top w:w="0" w:type="dxa"/>
            <w:left w:w="0" w:type="dxa"/>
            <w:bottom w:w="0" w:type="dxa"/>
            <w:right w:w="0" w:type="dxa"/>
          </w:tblCellMar>
        </w:tblPrEx>
        <w:trPr>
          <w:trHeight w:val="587"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权力名称</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占用公共场所从事设摊经营活动的</w:t>
            </w:r>
          </w:p>
        </w:tc>
      </w:tr>
      <w:tr>
        <w:tblPrEx>
          <w:tblCellMar>
            <w:top w:w="0" w:type="dxa"/>
            <w:left w:w="0" w:type="dxa"/>
            <w:bottom w:w="0" w:type="dxa"/>
            <w:right w:w="0" w:type="dxa"/>
          </w:tblCellMar>
        </w:tblPrEx>
        <w:trPr>
          <w:trHeight w:val="587"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kern w:val="0"/>
                <w:sz w:val="24"/>
                <w:szCs w:val="24"/>
              </w:rPr>
            </w:pPr>
            <w:r>
              <w:rPr>
                <w:rFonts w:hint="eastAsia" w:ascii="仿宋" w:hAnsi="仿宋" w:eastAsia="仿宋" w:cs="仿宋"/>
                <w:b/>
                <w:bCs/>
                <w:kern w:val="0"/>
                <w:sz w:val="24"/>
                <w:szCs w:val="24"/>
              </w:rPr>
              <w:t>权力类别：</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行政处罚</w:t>
            </w:r>
          </w:p>
        </w:tc>
      </w:tr>
      <w:tr>
        <w:tblPrEx>
          <w:tblCellMar>
            <w:top w:w="0" w:type="dxa"/>
            <w:left w:w="0" w:type="dxa"/>
            <w:bottom w:w="0" w:type="dxa"/>
            <w:right w:w="0" w:type="dxa"/>
          </w:tblCellMar>
        </w:tblPrEx>
        <w:trPr>
          <w:trHeight w:val="587"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241" w:firstLineChars="100"/>
              <w:jc w:val="left"/>
              <w:rPr>
                <w:rFonts w:hint="eastAsia" w:ascii="仿宋" w:hAnsi="仿宋" w:eastAsia="仿宋" w:cs="仿宋"/>
                <w:kern w:val="0"/>
                <w:sz w:val="24"/>
                <w:szCs w:val="24"/>
              </w:rPr>
            </w:pPr>
            <w:r>
              <w:rPr>
                <w:rFonts w:hint="eastAsia" w:ascii="仿宋" w:hAnsi="仿宋" w:eastAsia="仿宋" w:cs="仿宋"/>
                <w:b/>
                <w:bCs/>
                <w:kern w:val="0"/>
                <w:sz w:val="24"/>
                <w:szCs w:val="24"/>
              </w:rPr>
              <w:t>处罚决定日期</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30</w:t>
            </w:r>
            <w:r>
              <w:rPr>
                <w:rFonts w:hint="eastAsia" w:ascii="仿宋" w:hAnsi="仿宋" w:eastAsia="仿宋" w:cs="仿宋"/>
                <w:kern w:val="0"/>
                <w:sz w:val="24"/>
                <w:szCs w:val="24"/>
              </w:rPr>
              <w:t>日</w:t>
            </w:r>
          </w:p>
        </w:tc>
      </w:tr>
      <w:tr>
        <w:tblPrEx>
          <w:tblCellMar>
            <w:top w:w="0" w:type="dxa"/>
            <w:left w:w="0" w:type="dxa"/>
            <w:bottom w:w="0" w:type="dxa"/>
            <w:right w:w="0" w:type="dxa"/>
          </w:tblCellMar>
        </w:tblPrEx>
        <w:trPr>
          <w:trHeight w:val="782"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cs="仿宋"/>
                <w:kern w:val="0"/>
                <w:sz w:val="24"/>
                <w:szCs w:val="24"/>
              </w:rPr>
            </w:pPr>
            <w:r>
              <w:rPr>
                <w:rFonts w:hint="eastAsia" w:ascii="仿宋" w:hAnsi="仿宋" w:eastAsia="仿宋" w:cs="仿宋"/>
                <w:b/>
                <w:bCs/>
                <w:kern w:val="0"/>
                <w:sz w:val="24"/>
                <w:szCs w:val="24"/>
              </w:rPr>
              <w:t>处罚事由</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29</w:t>
            </w:r>
            <w:r>
              <w:rPr>
                <w:rFonts w:hint="eastAsia" w:ascii="仿宋" w:hAnsi="仿宋" w:eastAsia="仿宋" w:cs="仿宋"/>
                <w:kern w:val="0"/>
                <w:sz w:val="24"/>
                <w:szCs w:val="24"/>
              </w:rPr>
              <w:t>日在奈曼旗大镇</w:t>
            </w:r>
            <w:r>
              <w:rPr>
                <w:rFonts w:hint="eastAsia" w:ascii="仿宋" w:hAnsi="仿宋" w:eastAsia="仿宋" w:cs="仿宋"/>
                <w:color w:val="3D3C3C"/>
                <w:kern w:val="0"/>
                <w:sz w:val="24"/>
                <w:szCs w:val="24"/>
                <w:lang w:eastAsia="zh-CN"/>
              </w:rPr>
              <w:t>人民广场从事设摊经营</w:t>
            </w:r>
            <w:r>
              <w:rPr>
                <w:rFonts w:hint="eastAsia" w:ascii="仿宋" w:hAnsi="仿宋" w:eastAsia="仿宋" w:cs="仿宋"/>
                <w:kern w:val="0"/>
                <w:sz w:val="24"/>
                <w:szCs w:val="24"/>
                <w:lang w:eastAsia="zh-CN"/>
              </w:rPr>
              <w:t>的</w:t>
            </w:r>
            <w:r>
              <w:rPr>
                <w:rFonts w:hint="eastAsia" w:ascii="仿宋" w:hAnsi="仿宋" w:eastAsia="仿宋" w:cs="仿宋"/>
                <w:kern w:val="0"/>
                <w:sz w:val="24"/>
                <w:szCs w:val="24"/>
              </w:rPr>
              <w:t>行为</w:t>
            </w:r>
          </w:p>
        </w:tc>
      </w:tr>
      <w:tr>
        <w:tblPrEx>
          <w:tblCellMar>
            <w:top w:w="0" w:type="dxa"/>
            <w:left w:w="0" w:type="dxa"/>
            <w:bottom w:w="0" w:type="dxa"/>
            <w:right w:w="0" w:type="dxa"/>
          </w:tblCellMar>
        </w:tblPrEx>
        <w:trPr>
          <w:trHeight w:val="851"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241" w:firstLineChars="100"/>
              <w:jc w:val="left"/>
              <w:textAlignment w:val="auto"/>
              <w:rPr>
                <w:rFonts w:hint="eastAsia" w:ascii="仿宋" w:hAnsi="仿宋" w:eastAsia="仿宋" w:cs="仿宋"/>
                <w:kern w:val="0"/>
                <w:sz w:val="24"/>
                <w:szCs w:val="24"/>
              </w:rPr>
            </w:pPr>
            <w:r>
              <w:rPr>
                <w:rFonts w:hint="eastAsia" w:ascii="仿宋" w:hAnsi="仿宋" w:eastAsia="仿宋" w:cs="仿宋"/>
                <w:b/>
                <w:bCs/>
                <w:kern w:val="0"/>
                <w:sz w:val="24"/>
                <w:szCs w:val="24"/>
              </w:rPr>
              <w:t>违反的法律法规</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违反了</w:t>
            </w:r>
            <w:r>
              <w:rPr>
                <w:rFonts w:hint="eastAsia" w:ascii="仿宋" w:hAnsi="仿宋" w:eastAsia="仿宋" w:cs="仿宋"/>
                <w:kern w:val="0"/>
                <w:sz w:val="24"/>
                <w:szCs w:val="24"/>
                <w:lang w:eastAsia="zh-CN"/>
              </w:rPr>
              <w:t>《通辽市城市市容和环境卫生管理条例》第十五条第二款</w:t>
            </w:r>
            <w:r>
              <w:rPr>
                <w:rFonts w:hint="eastAsia" w:ascii="仿宋" w:hAnsi="仿宋" w:eastAsia="仿宋" w:cs="仿宋"/>
                <w:kern w:val="0"/>
                <w:sz w:val="24"/>
                <w:szCs w:val="24"/>
              </w:rPr>
              <w:t>的规定。</w:t>
            </w:r>
          </w:p>
        </w:tc>
      </w:tr>
      <w:tr>
        <w:tblPrEx>
          <w:tblCellMar>
            <w:top w:w="0" w:type="dxa"/>
            <w:left w:w="0" w:type="dxa"/>
            <w:bottom w:w="0" w:type="dxa"/>
            <w:right w:w="0" w:type="dxa"/>
          </w:tblCellMar>
        </w:tblPrEx>
        <w:trPr>
          <w:trHeight w:val="645"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cs="仿宋"/>
                <w:kern w:val="0"/>
                <w:sz w:val="24"/>
                <w:szCs w:val="24"/>
              </w:rPr>
            </w:pPr>
            <w:r>
              <w:rPr>
                <w:rFonts w:hint="eastAsia" w:ascii="仿宋" w:hAnsi="仿宋" w:eastAsia="仿宋" w:cs="仿宋"/>
                <w:b/>
                <w:bCs/>
                <w:kern w:val="0"/>
                <w:sz w:val="24"/>
                <w:szCs w:val="24"/>
              </w:rPr>
              <w:t>处罚依据</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《通辽市城市市容和环境卫生管理条例》第四十七条第（一）项</w:t>
            </w:r>
            <w:r>
              <w:rPr>
                <w:rFonts w:hint="eastAsia" w:ascii="仿宋" w:hAnsi="仿宋" w:eastAsia="仿宋" w:cs="仿宋"/>
                <w:kern w:val="0"/>
                <w:sz w:val="24"/>
                <w:szCs w:val="24"/>
              </w:rPr>
              <w:t>的规定</w:t>
            </w:r>
          </w:p>
        </w:tc>
      </w:tr>
      <w:tr>
        <w:tblPrEx>
          <w:tblCellMar>
            <w:top w:w="0" w:type="dxa"/>
            <w:left w:w="0" w:type="dxa"/>
            <w:bottom w:w="0" w:type="dxa"/>
            <w:right w:w="0" w:type="dxa"/>
          </w:tblCellMar>
        </w:tblPrEx>
        <w:trPr>
          <w:trHeight w:val="618"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kern w:val="0"/>
                <w:sz w:val="24"/>
                <w:szCs w:val="24"/>
              </w:rPr>
            </w:pPr>
            <w:r>
              <w:rPr>
                <w:rFonts w:hint="eastAsia" w:ascii="仿宋" w:hAnsi="仿宋" w:eastAsia="仿宋" w:cs="仿宋"/>
                <w:b/>
                <w:bCs/>
                <w:kern w:val="0"/>
                <w:sz w:val="24"/>
                <w:szCs w:val="24"/>
              </w:rPr>
              <w:t>处罚结果</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处人民币</w:t>
            </w:r>
            <w:r>
              <w:rPr>
                <w:rFonts w:hint="eastAsia" w:ascii="仿宋" w:hAnsi="仿宋" w:eastAsia="仿宋" w:cs="仿宋"/>
                <w:kern w:val="0"/>
                <w:sz w:val="24"/>
                <w:szCs w:val="24"/>
                <w:lang w:eastAsia="zh-CN"/>
              </w:rPr>
              <w:t>贰佰圆</w:t>
            </w:r>
            <w:r>
              <w:rPr>
                <w:rFonts w:hint="eastAsia" w:ascii="仿宋" w:hAnsi="仿宋" w:eastAsia="仿宋" w:cs="仿宋"/>
                <w:kern w:val="0"/>
                <w:sz w:val="24"/>
                <w:szCs w:val="24"/>
              </w:rPr>
              <w:t>整</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200</w:t>
            </w:r>
            <w:r>
              <w:rPr>
                <w:rFonts w:hint="eastAsia" w:ascii="仿宋" w:hAnsi="仿宋" w:eastAsia="仿宋" w:cs="仿宋"/>
                <w:kern w:val="0"/>
                <w:sz w:val="24"/>
                <w:szCs w:val="24"/>
              </w:rPr>
              <w:t>元</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罚款的行政处罚。</w:t>
            </w:r>
          </w:p>
        </w:tc>
      </w:tr>
      <w:tr>
        <w:tblPrEx>
          <w:tblCellMar>
            <w:top w:w="0" w:type="dxa"/>
            <w:left w:w="0" w:type="dxa"/>
            <w:bottom w:w="0" w:type="dxa"/>
            <w:right w:w="0" w:type="dxa"/>
          </w:tblCellMar>
        </w:tblPrEx>
        <w:trPr>
          <w:trHeight w:val="532"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kern w:val="0"/>
                <w:sz w:val="24"/>
                <w:szCs w:val="24"/>
              </w:rPr>
            </w:pPr>
            <w:r>
              <w:rPr>
                <w:rFonts w:hint="eastAsia" w:ascii="仿宋" w:hAnsi="仿宋" w:eastAsia="仿宋" w:cs="仿宋"/>
                <w:b/>
                <w:bCs/>
                <w:kern w:val="0"/>
                <w:sz w:val="24"/>
                <w:szCs w:val="24"/>
              </w:rPr>
              <w:t>缴纳情况</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日已缴纳</w:t>
            </w:r>
          </w:p>
        </w:tc>
      </w:tr>
      <w:tr>
        <w:tblPrEx>
          <w:tblCellMar>
            <w:top w:w="0" w:type="dxa"/>
            <w:left w:w="0" w:type="dxa"/>
            <w:bottom w:w="0" w:type="dxa"/>
            <w:right w:w="0" w:type="dxa"/>
          </w:tblCellMar>
        </w:tblPrEx>
        <w:trPr>
          <w:trHeight w:val="605"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kern w:val="0"/>
                <w:sz w:val="24"/>
                <w:szCs w:val="24"/>
              </w:rPr>
            </w:pPr>
            <w:r>
              <w:rPr>
                <w:rFonts w:hint="eastAsia" w:ascii="仿宋" w:hAnsi="仿宋" w:eastAsia="仿宋" w:cs="仿宋"/>
                <w:b/>
                <w:bCs/>
                <w:kern w:val="0"/>
                <w:sz w:val="24"/>
                <w:szCs w:val="24"/>
              </w:rPr>
              <w:t>处罚机关</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奈曼旗城市管理综合行政执法局</w:t>
            </w:r>
          </w:p>
        </w:tc>
      </w:tr>
      <w:tr>
        <w:tblPrEx>
          <w:tblCellMar>
            <w:top w:w="0" w:type="dxa"/>
            <w:left w:w="0" w:type="dxa"/>
            <w:bottom w:w="0" w:type="dxa"/>
            <w:right w:w="0" w:type="dxa"/>
          </w:tblCellMar>
        </w:tblPrEx>
        <w:trPr>
          <w:trHeight w:val="588"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办理流程</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立案→调查取证→审查→告知→决定→送达→执行</w:t>
            </w:r>
          </w:p>
        </w:tc>
      </w:tr>
      <w:tr>
        <w:tblPrEx>
          <w:tblCellMar>
            <w:top w:w="0" w:type="dxa"/>
            <w:left w:w="0" w:type="dxa"/>
            <w:bottom w:w="0" w:type="dxa"/>
            <w:right w:w="0" w:type="dxa"/>
          </w:tblCellMar>
        </w:tblPrEx>
        <w:trPr>
          <w:trHeight w:val="587"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241" w:firstLineChars="100"/>
              <w:jc w:val="left"/>
              <w:textAlignment w:val="auto"/>
              <w:rPr>
                <w:rFonts w:hint="eastAsia" w:ascii="仿宋" w:hAnsi="仿宋" w:eastAsia="仿宋" w:cs="仿宋"/>
                <w:kern w:val="0"/>
                <w:sz w:val="24"/>
                <w:szCs w:val="24"/>
              </w:rPr>
            </w:pPr>
            <w:r>
              <w:rPr>
                <w:rFonts w:hint="eastAsia" w:ascii="仿宋" w:hAnsi="仿宋" w:eastAsia="仿宋" w:cs="仿宋"/>
                <w:b/>
                <w:bCs/>
                <w:kern w:val="0"/>
                <w:sz w:val="24"/>
                <w:szCs w:val="24"/>
              </w:rPr>
              <w:t>追责情形及依据</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《通辽市城市市容和环境卫生管理条例》第五十二条　城市市容和环境卫生主管部门和其他有关部门及其工作人员应当规范、文明执法，具有下列行为之一的，由其所在单位或者上级主管部门依法给予处分；造成损失的，依法承担赔偿责任；构成犯罪的，依法追究刑事责任：</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（一）未出示证件，未按照规定着装执法，执法过程中未全程佩戴执法记录仪；</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（二）未使用规定的行政执法文书和罚没专用收据；</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（三）粗暴执法致使公民、法人和其他组织及公共利益受到损害；</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（四）打骂、侮辱当事人；</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（五）未遵守罚缴分离规定；</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（六）应当受理的投诉事项不予受理或者应当查处的违法行为不予查处；</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（七）其他滥用职权、玩忽职守、徇私舞弊的行为。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xM2Q2MzlmYWM0YmY2NTg0YmIyMTYzMDFjNjU2ZjIifQ=="/>
  </w:docVars>
  <w:rsids>
    <w:rsidRoot w:val="005137BD"/>
    <w:rsid w:val="00080DF3"/>
    <w:rsid w:val="00420A44"/>
    <w:rsid w:val="005137BD"/>
    <w:rsid w:val="00921AA2"/>
    <w:rsid w:val="00DA6FFB"/>
    <w:rsid w:val="07DC2C8A"/>
    <w:rsid w:val="089F6B66"/>
    <w:rsid w:val="10044D8D"/>
    <w:rsid w:val="14F10063"/>
    <w:rsid w:val="195B025F"/>
    <w:rsid w:val="268808EE"/>
    <w:rsid w:val="272B42B9"/>
    <w:rsid w:val="2C7D5AFD"/>
    <w:rsid w:val="32E46528"/>
    <w:rsid w:val="34957ADD"/>
    <w:rsid w:val="3AD402AB"/>
    <w:rsid w:val="42357B7A"/>
    <w:rsid w:val="48727599"/>
    <w:rsid w:val="4C637368"/>
    <w:rsid w:val="7F8F6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批注框文本 Char"/>
    <w:basedOn w:val="5"/>
    <w:link w:val="2"/>
    <w:semiHidden/>
    <w:qFormat/>
    <w:uiPriority w:val="99"/>
    <w:rPr>
      <w:sz w:val="18"/>
      <w:szCs w:val="18"/>
    </w:rPr>
  </w:style>
  <w:style w:type="character" w:customStyle="1" w:styleId="7">
    <w:name w:val="font1"/>
    <w:basedOn w:val="5"/>
    <w:qFormat/>
    <w:uiPriority w:val="0"/>
    <w:rPr>
      <w:color w:val="72727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569</Words>
  <Characters>583</Characters>
  <Lines>8</Lines>
  <Paragraphs>9</Paragraphs>
  <TotalTime>26</TotalTime>
  <ScaleCrop>false</ScaleCrop>
  <LinksUpToDate>false</LinksUpToDate>
  <CharactersWithSpaces>584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2023-05-04T07:58:00Z</dcterms:created>
  <dc:creator>演示人</dc:creator>
  <cp:lastModifiedBy>J   </cp:lastModifiedBy>
  <cp:lastPrinted>2023-05-04T08:17:00Z</cp:lastPrinted>
  <dcterms:modified xsi:type="dcterms:W3CDTF">2023-11-23T07:42:08Z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C81375B56A264F94B0FB12AB2730675E_13</vt:lpwstr>
  </property>
</Properties>
</file>