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456" w:rsidRDefault="00002A6F" w:rsidP="00002A6F">
      <w:pPr>
        <w:widowControl/>
        <w:shd w:val="clear" w:color="auto" w:fill="FFFFFF"/>
        <w:adjustRightInd w:val="0"/>
        <w:spacing w:line="560" w:lineRule="exact"/>
        <w:jc w:val="left"/>
        <w:outlineLvl w:val="1"/>
        <w:rPr>
          <w:rFonts w:asciiTheme="minorEastAsia" w:hAnsiTheme="minorEastAsia" w:cs="宋体" w:hint="eastAsia"/>
          <w:b/>
          <w:bCs/>
          <w:kern w:val="36"/>
          <w:sz w:val="32"/>
          <w:szCs w:val="32"/>
        </w:rPr>
      </w:pPr>
      <w:r w:rsidRPr="00002A6F">
        <w:rPr>
          <w:rFonts w:asciiTheme="minorEastAsia" w:hAnsiTheme="minorEastAsia" w:cs="宋体" w:hint="eastAsia"/>
          <w:b/>
          <w:bCs/>
          <w:kern w:val="36"/>
          <w:sz w:val="32"/>
          <w:szCs w:val="32"/>
        </w:rPr>
        <w:t>附件2</w:t>
      </w:r>
      <w:r>
        <w:rPr>
          <w:rFonts w:asciiTheme="minorEastAsia" w:hAnsiTheme="minorEastAsia" w:cs="宋体" w:hint="eastAsia"/>
          <w:b/>
          <w:bCs/>
          <w:kern w:val="36"/>
          <w:sz w:val="32"/>
          <w:szCs w:val="32"/>
        </w:rPr>
        <w:t>：</w:t>
      </w:r>
    </w:p>
    <w:p w:rsidR="00002A6F" w:rsidRPr="00002A6F" w:rsidRDefault="00002A6F" w:rsidP="00002A6F">
      <w:pPr>
        <w:widowControl/>
        <w:shd w:val="clear" w:color="auto" w:fill="FFFFFF"/>
        <w:adjustRightInd w:val="0"/>
        <w:spacing w:line="560" w:lineRule="exact"/>
        <w:jc w:val="left"/>
        <w:outlineLvl w:val="1"/>
        <w:rPr>
          <w:rFonts w:asciiTheme="minorEastAsia" w:hAnsiTheme="minorEastAsia" w:cs="宋体" w:hint="eastAsia"/>
          <w:b/>
          <w:bCs/>
          <w:kern w:val="36"/>
          <w:sz w:val="32"/>
          <w:szCs w:val="32"/>
        </w:rPr>
      </w:pPr>
    </w:p>
    <w:p w:rsidR="00972456" w:rsidRPr="00972456" w:rsidRDefault="00972456" w:rsidP="00972456">
      <w:pPr>
        <w:widowControl/>
        <w:shd w:val="clear" w:color="auto" w:fill="FFFFFF"/>
        <w:adjustRightInd w:val="0"/>
        <w:spacing w:line="560" w:lineRule="exact"/>
        <w:jc w:val="center"/>
        <w:outlineLvl w:val="1"/>
        <w:rPr>
          <w:rFonts w:ascii="仿宋_GB2312" w:eastAsia="仿宋_GB2312" w:hAnsi="黑体" w:cs="宋体" w:hint="eastAsia"/>
          <w:b/>
          <w:bCs/>
          <w:kern w:val="36"/>
          <w:sz w:val="44"/>
          <w:szCs w:val="44"/>
        </w:rPr>
      </w:pPr>
      <w:r w:rsidRPr="00972456">
        <w:rPr>
          <w:rFonts w:ascii="仿宋_GB2312" w:eastAsia="仿宋_GB2312" w:hAnsi="黑体" w:cs="宋体" w:hint="eastAsia"/>
          <w:b/>
          <w:bCs/>
          <w:kern w:val="36"/>
          <w:sz w:val="44"/>
          <w:szCs w:val="44"/>
        </w:rPr>
        <w:t>奈曼旗气象局行政执法全程记录制度</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宋体" w:eastAsia="仿宋_GB2312" w:hAnsi="宋体" w:cs="宋体" w:hint="eastAsia"/>
          <w:color w:val="333333"/>
          <w:kern w:val="0"/>
          <w:sz w:val="32"/>
          <w:szCs w:val="32"/>
        </w:rPr>
        <w:t> </w:t>
      </w:r>
    </w:p>
    <w:p w:rsidR="00972456" w:rsidRPr="00972456" w:rsidRDefault="00972456" w:rsidP="00972456">
      <w:pPr>
        <w:widowControl/>
        <w:shd w:val="clear" w:color="auto" w:fill="FFFFFF"/>
        <w:adjustRightInd w:val="0"/>
        <w:spacing w:line="560" w:lineRule="exact"/>
        <w:jc w:val="center"/>
        <w:rPr>
          <w:rFonts w:ascii="黑体" w:eastAsia="黑体" w:hAnsi="黑体" w:cs="宋体" w:hint="eastAsia"/>
          <w:color w:val="333333"/>
          <w:kern w:val="0"/>
          <w:sz w:val="32"/>
          <w:szCs w:val="32"/>
        </w:rPr>
      </w:pPr>
      <w:r w:rsidRPr="00972456">
        <w:rPr>
          <w:rFonts w:ascii="黑体" w:eastAsia="黑体" w:hAnsi="黑体" w:cs="仿宋" w:hint="eastAsia"/>
          <w:color w:val="333333"/>
          <w:kern w:val="0"/>
          <w:sz w:val="32"/>
          <w:szCs w:val="32"/>
        </w:rPr>
        <w:t>第一章  总则</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第一条  为了深入推进依法行政，进一步规范行政执法行为，加强行政权力的制约和监督，维护当事人和行政执法人员合法权益，根据《中华人民共和国行政处罚法》、《中华人民共和国气象法》等法律法规，结合执法实际，制定本制度。</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第二条  本制度所称的执法全过程记录，是指在气象行政执法过程中，通过完成执法案卷制作，充分利用执法记录仪等方式，对日常巡查、调查取证、文书送达等行政执法活动全过程进行记录。</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第三条  防灾减灾科应当加强对行政执法人员行政执法全过程记录的培训和监督检查，严格文书、影像资料、记录仪管理，充分发挥执法记录制度的监督作用。</w:t>
      </w:r>
    </w:p>
    <w:p w:rsidR="00972456" w:rsidRPr="00972456" w:rsidRDefault="00972456" w:rsidP="00972456">
      <w:pPr>
        <w:widowControl/>
        <w:shd w:val="clear" w:color="auto" w:fill="FFFFFF"/>
        <w:adjustRightInd w:val="0"/>
        <w:spacing w:line="560" w:lineRule="exact"/>
        <w:jc w:val="center"/>
        <w:rPr>
          <w:rFonts w:ascii="黑体" w:eastAsia="黑体" w:hAnsi="黑体" w:cs="仿宋" w:hint="eastAsia"/>
          <w:color w:val="333333"/>
          <w:kern w:val="0"/>
          <w:sz w:val="32"/>
          <w:szCs w:val="32"/>
        </w:rPr>
      </w:pPr>
      <w:r w:rsidRPr="00972456">
        <w:rPr>
          <w:rFonts w:ascii="黑体" w:eastAsia="黑体" w:hAnsi="黑体" w:cs="仿宋" w:hint="eastAsia"/>
          <w:color w:val="333333"/>
          <w:kern w:val="0"/>
          <w:sz w:val="32"/>
          <w:szCs w:val="32"/>
        </w:rPr>
        <w:t>第二章  行政许可记录规则</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第四条  行政执法全过程记录包括文字记录和动态记录两种形式。文字记录即通过文书、案卷制作记录行政执法的全过程。行政许可主要采用文字记录形式。</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第五条  建立健全行政许可记录制度，从提交资料到收到受理全程留痕，全程记录。</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lastRenderedPageBreak/>
        <w:t>第六条  建立记录管理制度，按照行政许可类别、申请单位名称、执法记录编号、执法人员信息等项目分类存储，严格管理。</w:t>
      </w:r>
    </w:p>
    <w:p w:rsidR="00972456" w:rsidRPr="00972456" w:rsidRDefault="00972456" w:rsidP="00972456">
      <w:pPr>
        <w:widowControl/>
        <w:shd w:val="clear" w:color="auto" w:fill="FFFFFF"/>
        <w:adjustRightInd w:val="0"/>
        <w:spacing w:line="560" w:lineRule="exact"/>
        <w:jc w:val="center"/>
        <w:rPr>
          <w:rFonts w:ascii="黑体" w:eastAsia="黑体" w:hAnsi="黑体" w:cs="仿宋" w:hint="eastAsia"/>
          <w:color w:val="333333"/>
          <w:kern w:val="0"/>
          <w:sz w:val="32"/>
          <w:szCs w:val="32"/>
        </w:rPr>
      </w:pPr>
      <w:r w:rsidRPr="00972456">
        <w:rPr>
          <w:rFonts w:ascii="黑体" w:eastAsia="黑体" w:hAnsi="黑体" w:cs="仿宋" w:hint="eastAsia"/>
          <w:color w:val="333333"/>
          <w:kern w:val="0"/>
          <w:sz w:val="32"/>
          <w:szCs w:val="32"/>
        </w:rPr>
        <w:t>第三章  行政处罚记录规则</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第七条  动态记录即通过执法记录仪、照相机、摄像机等执法记录设备对日常巡查、调查取证、询问当事人、文书送达、行政听证等行政执法活动进行记录，即录像、录音、照片等影像资料。行政处罚需要采取动态记录。</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第八条  行政执法人员在查处违法行为、处理违法案件时，在条件允许的情况下，应当佩戴、使用执法记录仪进行全程录音录像，客观、真实地记录执法工作情况及相关证据；受客观条件限制，无法全程录音录像的，应当对重要环节使用照相机、摄像机等记录设备进行录音录像，并做好执法文书记录。</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第九条  防灾减灾科要定期做好执法记录设备的维护和保养，保持设备整洁、性能良好。在进行执法记录时，应当及时检查执法记录设备的电池容量、内存空间，保证执法记录设备正常使用。</w:t>
      </w:r>
    </w:p>
    <w:p w:rsidR="00972456" w:rsidRPr="00972456" w:rsidRDefault="00972456" w:rsidP="00972456">
      <w:pPr>
        <w:widowControl/>
        <w:shd w:val="clear" w:color="auto" w:fill="FFFFFF"/>
        <w:adjustRightInd w:val="0"/>
        <w:spacing w:line="560" w:lineRule="exact"/>
        <w:jc w:val="center"/>
        <w:rPr>
          <w:rFonts w:ascii="黑体" w:eastAsia="黑体" w:hAnsi="黑体" w:cs="仿宋" w:hint="eastAsia"/>
          <w:color w:val="333333"/>
          <w:kern w:val="0"/>
          <w:sz w:val="32"/>
          <w:szCs w:val="32"/>
        </w:rPr>
      </w:pPr>
      <w:r w:rsidRPr="00972456">
        <w:rPr>
          <w:rFonts w:ascii="黑体" w:eastAsia="黑体" w:hAnsi="黑体" w:cs="仿宋" w:hint="eastAsia"/>
          <w:color w:val="333333"/>
          <w:kern w:val="0"/>
          <w:sz w:val="32"/>
          <w:szCs w:val="32"/>
        </w:rPr>
        <w:t>第四章  记录的保存及归档</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第十条  办公室负责本单位执法记录设备的影像资料和行政执法案卷日常存储、保管。</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第十一条 日常执法的影像资料保存期限不少于一年。</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lastRenderedPageBreak/>
        <w:t>案卷每年底都交由法规科统一考评、保存。行政处罚一般程序案件中作为证据使用的影像资料保存期限应当与案卷保存期限相同。</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第十二条  有下列情形，应当采取刻录光盘等方式，长期保存记录的影像资料：</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（一）当事人对行政执法人员现场执法、办案有异议或者投诉、上访的；</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（二）当事人逃避、拒绝、阻碍行政执法人员依法执行公务，或者谩骂、侮辱、殴打行政执法人员的；</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（三）行政执法人员参与处置群体性事件、突发事件的；</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（四）其他需要长期保存的情况。</w:t>
      </w:r>
    </w:p>
    <w:p w:rsidR="00972456" w:rsidRPr="00972456" w:rsidRDefault="00972456" w:rsidP="00972456">
      <w:pPr>
        <w:widowControl/>
        <w:shd w:val="clear" w:color="auto" w:fill="FFFFFF"/>
        <w:adjustRightInd w:val="0"/>
        <w:spacing w:line="560" w:lineRule="exact"/>
        <w:jc w:val="center"/>
        <w:rPr>
          <w:rFonts w:ascii="黑体" w:eastAsia="黑体" w:hAnsi="黑体" w:cs="仿宋" w:hint="eastAsia"/>
          <w:color w:val="333333"/>
          <w:kern w:val="0"/>
          <w:sz w:val="32"/>
          <w:szCs w:val="32"/>
        </w:rPr>
      </w:pPr>
      <w:r w:rsidRPr="00972456">
        <w:rPr>
          <w:rFonts w:ascii="黑体" w:eastAsia="黑体" w:hAnsi="黑体" w:cs="仿宋" w:hint="eastAsia"/>
          <w:color w:val="333333"/>
          <w:kern w:val="0"/>
          <w:sz w:val="32"/>
          <w:szCs w:val="32"/>
        </w:rPr>
        <w:t>第五章  检查和考评</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第十三条  市局政策法规科定期对执法记录设备反映的行政执法人员队容风纪、文明执法情况进行抽检，对记录的案卷、影像资料进行回放检查，并建立检查台帐。</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第十四条  行政执法人员在进行执法记录时，严禁下列行为：</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（一）在查处违法行为、处理违法案件时不进行执法全过程记录；</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（二）删减、修改执法记录设备记录的原始影像资料；</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（三）私自复制、保存或者传播、泄露执法记录的影像资料和案卷资料；</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（四）利用执法记录设备记录与执勤执法无关的活动；</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lastRenderedPageBreak/>
        <w:t>（五）故意毁坏执法文书、案卷材料、执法记录设备或者影像资料存储设备；</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（六）其他违反执法记录管理规定的行为。</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违反上述规定，情节轻微的，予以批评教育；情节严重的，给予警告、记过或者记大过处分，同时追究相关领导的责任。</w:t>
      </w:r>
    </w:p>
    <w:p w:rsidR="00972456" w:rsidRPr="00972456" w:rsidRDefault="00972456" w:rsidP="00972456">
      <w:pPr>
        <w:widowControl/>
        <w:shd w:val="clear" w:color="auto" w:fill="FFFFFF"/>
        <w:adjustRightInd w:val="0"/>
        <w:spacing w:line="560" w:lineRule="exact"/>
        <w:ind w:firstLineChars="200" w:firstLine="640"/>
        <w:jc w:val="center"/>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第六章  附则</w:t>
      </w:r>
    </w:p>
    <w:p w:rsidR="00972456" w:rsidRPr="00972456" w:rsidRDefault="00972456" w:rsidP="00972456">
      <w:pPr>
        <w:widowControl/>
        <w:shd w:val="clear" w:color="auto" w:fill="FFFFFF"/>
        <w:adjustRightInd w:val="0"/>
        <w:spacing w:line="560" w:lineRule="exact"/>
        <w:ind w:firstLineChars="200" w:firstLine="640"/>
        <w:jc w:val="left"/>
        <w:rPr>
          <w:rFonts w:ascii="仿宋_GB2312" w:eastAsia="仿宋_GB2312" w:hAnsi="宋体" w:cs="宋体" w:hint="eastAsia"/>
          <w:color w:val="333333"/>
          <w:kern w:val="0"/>
          <w:sz w:val="32"/>
          <w:szCs w:val="32"/>
        </w:rPr>
      </w:pPr>
      <w:r w:rsidRPr="00972456">
        <w:rPr>
          <w:rFonts w:ascii="仿宋_GB2312" w:eastAsia="仿宋_GB2312" w:hAnsi="仿宋" w:cs="仿宋" w:hint="eastAsia"/>
          <w:color w:val="333333"/>
          <w:kern w:val="0"/>
          <w:sz w:val="32"/>
          <w:szCs w:val="32"/>
        </w:rPr>
        <w:t>第十五条  本制度自发布之日起施行。</w:t>
      </w:r>
    </w:p>
    <w:p w:rsidR="00B5556D" w:rsidRPr="00972456" w:rsidRDefault="00002A6F" w:rsidP="00972456">
      <w:pPr>
        <w:adjustRightInd w:val="0"/>
        <w:spacing w:line="560" w:lineRule="exact"/>
        <w:ind w:firstLineChars="200" w:firstLine="640"/>
        <w:rPr>
          <w:rFonts w:ascii="仿宋_GB2312" w:eastAsia="仿宋_GB2312" w:hint="eastAsia"/>
          <w:sz w:val="32"/>
          <w:szCs w:val="32"/>
        </w:rPr>
      </w:pPr>
    </w:p>
    <w:sectPr w:rsidR="00B5556D" w:rsidRPr="00972456" w:rsidSect="00AC19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2456"/>
    <w:rsid w:val="00002A6F"/>
    <w:rsid w:val="001B7218"/>
    <w:rsid w:val="00972456"/>
    <w:rsid w:val="00AC19B5"/>
    <w:rsid w:val="00B051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B5"/>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8958801">
      <w:bodyDiv w:val="1"/>
      <w:marLeft w:val="0"/>
      <w:marRight w:val="0"/>
      <w:marTop w:val="0"/>
      <w:marBottom w:val="0"/>
      <w:divBdr>
        <w:top w:val="none" w:sz="0" w:space="0" w:color="auto"/>
        <w:left w:val="none" w:sz="0" w:space="0" w:color="auto"/>
        <w:bottom w:val="none" w:sz="0" w:space="0" w:color="auto"/>
        <w:right w:val="none" w:sz="0" w:space="0" w:color="auto"/>
      </w:divBdr>
      <w:divsChild>
        <w:div w:id="1062564713">
          <w:marLeft w:val="0"/>
          <w:marRight w:val="0"/>
          <w:marTop w:val="376"/>
          <w:marBottom w:val="0"/>
          <w:divBdr>
            <w:top w:val="none" w:sz="0" w:space="0" w:color="auto"/>
            <w:left w:val="none" w:sz="0" w:space="0" w:color="auto"/>
            <w:bottom w:val="none" w:sz="0" w:space="0" w:color="auto"/>
            <w:right w:val="none" w:sz="0" w:space="0" w:color="auto"/>
          </w:divBdr>
          <w:divsChild>
            <w:div w:id="1884057956">
              <w:marLeft w:val="0"/>
              <w:marRight w:val="0"/>
              <w:marTop w:val="0"/>
              <w:marBottom w:val="0"/>
              <w:divBdr>
                <w:top w:val="none" w:sz="0" w:space="0" w:color="auto"/>
                <w:left w:val="none" w:sz="0" w:space="0" w:color="auto"/>
                <w:bottom w:val="none" w:sz="0" w:space="0" w:color="auto"/>
                <w:right w:val="none" w:sz="0" w:space="0" w:color="auto"/>
              </w:divBdr>
              <w:divsChild>
                <w:div w:id="4272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 NULL</dc:creator>
  <cp:lastModifiedBy>NOT NULL</cp:lastModifiedBy>
  <cp:revision>2</cp:revision>
  <dcterms:created xsi:type="dcterms:W3CDTF">2019-08-17T08:50:00Z</dcterms:created>
  <dcterms:modified xsi:type="dcterms:W3CDTF">2019-08-17T08:53:00Z</dcterms:modified>
</cp:coreProperties>
</file>