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2022</w:t>
      </w:r>
      <w:r>
        <w:rPr>
          <w:rFonts w:hint="eastAsia" w:ascii="宋体" w:hAnsi="宋体"/>
          <w:b/>
          <w:bCs/>
          <w:sz w:val="52"/>
          <w:szCs w:val="52"/>
        </w:rPr>
        <w:t>年度奈曼旗孟家段水库</w:t>
      </w:r>
    </w:p>
    <w:p>
      <w:pPr>
        <w:spacing w:line="360" w:lineRule="auto"/>
        <w:jc w:val="center"/>
        <w:rPr>
          <w:rFonts w:ascii="宋体" w:hAnsi="宋体"/>
          <w:b/>
          <w:bCs/>
          <w:sz w:val="52"/>
          <w:szCs w:val="52"/>
        </w:rPr>
      </w:pPr>
      <w:r>
        <w:rPr>
          <w:rFonts w:hint="eastAsia" w:ascii="宋体" w:hAnsi="宋体"/>
          <w:b/>
          <w:bCs/>
          <w:sz w:val="52"/>
          <w:szCs w:val="52"/>
        </w:rPr>
        <w:t>分析报告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部门（单位）名称：奈曼旗孟家段水库</w:t>
      </w:r>
    </w:p>
    <w:p>
      <w:pPr>
        <w:spacing w:line="360" w:lineRule="auto"/>
        <w:ind w:firstLine="2240" w:firstLineChars="700"/>
        <w:jc w:val="left"/>
        <w:rPr>
          <w:rFonts w:ascii="宋体" w:hAnsi="宋体"/>
          <w:sz w:val="32"/>
          <w:szCs w:val="32"/>
        </w:rPr>
      </w:pPr>
      <w:r>
        <w:rPr>
          <w:rFonts w:hint="eastAsia" w:ascii="宋体" w:hAnsi="宋体"/>
          <w:sz w:val="32"/>
          <w:szCs w:val="32"/>
        </w:rPr>
        <w:t>单位负责人：潘启学</w:t>
      </w:r>
    </w:p>
    <w:p>
      <w:pPr>
        <w:spacing w:line="360" w:lineRule="auto"/>
        <w:ind w:firstLine="2240" w:firstLineChars="700"/>
        <w:jc w:val="left"/>
        <w:rPr>
          <w:rFonts w:ascii="宋体" w:hAnsi="宋体"/>
          <w:sz w:val="32"/>
          <w:szCs w:val="32"/>
        </w:rPr>
      </w:pPr>
      <w:r>
        <w:rPr>
          <w:rFonts w:hint="eastAsia" w:ascii="宋体" w:hAnsi="宋体"/>
          <w:sz w:val="32"/>
          <w:szCs w:val="32"/>
        </w:rPr>
        <w:t>财务负责人：崔海鹏</w:t>
      </w:r>
    </w:p>
    <w:p>
      <w:pPr>
        <w:spacing w:line="360" w:lineRule="auto"/>
        <w:ind w:firstLine="2240" w:firstLineChars="700"/>
        <w:jc w:val="left"/>
        <w:rPr>
          <w:rFonts w:ascii="宋体" w:hAnsi="宋体"/>
          <w:sz w:val="32"/>
          <w:szCs w:val="32"/>
        </w:rPr>
      </w:pPr>
      <w:r>
        <w:rPr>
          <w:rFonts w:hint="eastAsia" w:ascii="宋体" w:hAnsi="宋体"/>
          <w:sz w:val="32"/>
          <w:szCs w:val="32"/>
        </w:rPr>
        <w:t>编制人：曲小慧</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2023</w:t>
      </w:r>
      <w:r>
        <w:rPr>
          <w:rFonts w:hint="eastAsia" w:ascii="宋体" w:hAnsi="宋体"/>
          <w:sz w:val="32"/>
          <w:szCs w:val="32"/>
        </w:rPr>
        <w:t>年1月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keepNext w:val="0"/>
        <w:keepLines w:val="0"/>
        <w:widowControl/>
        <w:spacing w:before="0" w:after="322" w:line="240" w:lineRule="auto"/>
        <w:jc w:val="center"/>
        <w:rPr>
          <w:rFonts w:ascii="Times New Roman" w:hAnsi="Times New Roman" w:eastAsia="Times New Roman" w:cs="Times New Roman"/>
          <w:b/>
          <w:bCs/>
          <w:kern w:val="0"/>
          <w:sz w:val="48"/>
          <w:szCs w:val="48"/>
        </w:rPr>
      </w:pPr>
      <w:bookmarkStart w:id="0" w:name="a000"/>
      <w:r>
        <w:rPr>
          <w:rFonts w:ascii="Times New Roman" w:hAnsi="Times New Roman" w:eastAsia="Times New Roman" w:cs="Times New Roman"/>
          <w:kern w:val="36"/>
          <w:sz w:val="48"/>
          <w:szCs w:val="48"/>
        </w:rPr>
        <w:t>2022</w:t>
      </w:r>
      <w:r>
        <w:rPr>
          <w:rFonts w:ascii="宋体" w:hAnsi="宋体" w:eastAsia="宋体" w:cs="宋体"/>
          <w:kern w:val="36"/>
          <w:sz w:val="48"/>
          <w:szCs w:val="48"/>
        </w:rPr>
        <w:t>年度部门决算分析报告</w:t>
      </w: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一、单位情况</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宋体" w:hAnsi="宋体" w:eastAsia="宋体" w:cs="宋体"/>
          <w:kern w:val="0"/>
          <w:sz w:val="28"/>
          <w:szCs w:val="28"/>
        </w:rPr>
        <w:t>（一）基本情况。</w:t>
      </w:r>
    </w:p>
    <w:p>
      <w:pPr>
        <w:snapToGrid w:val="0"/>
        <w:spacing w:line="520" w:lineRule="exact"/>
        <w:ind w:firstLine="480" w:firstLineChars="200"/>
        <w:rPr>
          <w:rFonts w:hint="eastAsia" w:ascii="宋体" w:hAnsi="宋体" w:eastAsia="宋体" w:cs="宋体"/>
          <w:kern w:val="0"/>
          <w:sz w:val="24"/>
        </w:rPr>
      </w:pPr>
      <w:r>
        <w:rPr>
          <w:rFonts w:ascii="Times New Roman" w:hAnsi="Times New Roman" w:eastAsia="Times New Roman" w:cs="Times New Roman"/>
          <w:kern w:val="0"/>
          <w:sz w:val="24"/>
        </w:rPr>
        <w:t>            1</w:t>
      </w:r>
      <w:r>
        <w:rPr>
          <w:rFonts w:ascii="宋体" w:hAnsi="宋体" w:eastAsia="宋体" w:cs="宋体"/>
          <w:kern w:val="0"/>
          <w:sz w:val="24"/>
        </w:rPr>
        <w:t>．主要职能。</w:t>
      </w:r>
      <w:r>
        <w:rPr>
          <w:rFonts w:hint="default" w:ascii="Times New Roman" w:hAnsi="Times New Roman" w:eastAsia="仿宋_GB2312" w:cs="Times New Roman"/>
          <w:sz w:val="24"/>
          <w:szCs w:val="24"/>
          <w:lang w:val="en-US" w:eastAsia="zh-CN"/>
        </w:rPr>
        <w:t>管</w:t>
      </w:r>
      <w:r>
        <w:rPr>
          <w:rFonts w:hint="default" w:ascii="宋体" w:hAnsi="宋体" w:eastAsia="宋体" w:cs="宋体"/>
          <w:kern w:val="0"/>
          <w:sz w:val="24"/>
          <w:lang w:val="en-US" w:eastAsia="zh-CN"/>
        </w:rPr>
        <w:t>理辖区水域，促进水利及水产业发展，抗旱防汛服务，水利工程设施管理、养护和使用。水产养殖及渔政管理等。</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2</w:t>
      </w:r>
      <w:r>
        <w:rPr>
          <w:rFonts w:ascii="宋体" w:hAnsi="宋体" w:eastAsia="宋体" w:cs="宋体"/>
          <w:kern w:val="0"/>
          <w:sz w:val="24"/>
        </w:rPr>
        <w:t>．机构情况：本单位奈曼旗孟家段水库，二级预算单位，报表类型为：单户表，如有变动请分析原因。</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3</w:t>
      </w:r>
      <w:r>
        <w:rPr>
          <w:rFonts w:ascii="宋体" w:hAnsi="宋体" w:eastAsia="宋体" w:cs="宋体"/>
          <w:kern w:val="0"/>
          <w:sz w:val="24"/>
        </w:rPr>
        <w:t>．人员情况：年末独立核算机构数：</w:t>
      </w:r>
      <w:r>
        <w:rPr>
          <w:rFonts w:ascii="Times New Roman" w:hAnsi="Times New Roman" w:eastAsia="Times New Roman" w:cs="Times New Roman"/>
          <w:kern w:val="0"/>
          <w:sz w:val="24"/>
        </w:rPr>
        <w:t xml:space="preserve">1 </w:t>
      </w:r>
      <w:r>
        <w:rPr>
          <w:rFonts w:ascii="宋体" w:hAnsi="宋体" w:eastAsia="宋体" w:cs="宋体"/>
          <w:kern w:val="0"/>
          <w:sz w:val="24"/>
        </w:rPr>
        <w:t>个，在职人员：</w:t>
      </w:r>
      <w:r>
        <w:rPr>
          <w:rFonts w:ascii="Times New Roman" w:hAnsi="Times New Roman" w:eastAsia="Times New Roman" w:cs="Times New Roman"/>
          <w:kern w:val="0"/>
          <w:sz w:val="24"/>
        </w:rPr>
        <w:t xml:space="preserve">  19 </w:t>
      </w:r>
      <w:r>
        <w:rPr>
          <w:rFonts w:ascii="宋体" w:hAnsi="宋体" w:eastAsia="宋体" w:cs="宋体"/>
          <w:kern w:val="0"/>
          <w:sz w:val="24"/>
        </w:rPr>
        <w:t>人，离休人员：</w:t>
      </w:r>
      <w:r>
        <w:rPr>
          <w:rFonts w:ascii="Times New Roman" w:hAnsi="Times New Roman" w:eastAsia="Times New Roman" w:cs="Times New Roman"/>
          <w:kern w:val="0"/>
          <w:sz w:val="24"/>
        </w:rPr>
        <w:t>0  </w:t>
      </w:r>
      <w:r>
        <w:rPr>
          <w:rFonts w:ascii="宋体" w:hAnsi="宋体" w:eastAsia="宋体" w:cs="宋体"/>
          <w:kern w:val="0"/>
          <w:sz w:val="24"/>
        </w:rPr>
        <w:t>人，退休人员：</w:t>
      </w:r>
      <w:r>
        <w:rPr>
          <w:rFonts w:ascii="Times New Roman" w:hAnsi="Times New Roman" w:eastAsia="Times New Roman" w:cs="Times New Roman"/>
          <w:kern w:val="0"/>
          <w:sz w:val="24"/>
        </w:rPr>
        <w:t>1  </w:t>
      </w:r>
      <w:r>
        <w:rPr>
          <w:rFonts w:ascii="宋体" w:hAnsi="宋体" w:eastAsia="宋体" w:cs="宋体"/>
          <w:kern w:val="0"/>
          <w:sz w:val="24"/>
        </w:rPr>
        <w:t>人，实有人数</w:t>
      </w:r>
      <w:r>
        <w:rPr>
          <w:rFonts w:ascii="Times New Roman" w:hAnsi="Times New Roman" w:eastAsia="Times New Roman" w:cs="Times New Roman"/>
          <w:kern w:val="0"/>
          <w:sz w:val="24"/>
        </w:rPr>
        <w:t>_</w:t>
      </w:r>
      <w:r>
        <w:rPr>
          <w:rFonts w:ascii="宋体" w:hAnsi="宋体" w:eastAsia="宋体" w:cs="宋体"/>
          <w:kern w:val="0"/>
          <w:sz w:val="24"/>
        </w:rPr>
        <w:t>一般公共预算财政拨款开支人员：</w:t>
      </w:r>
      <w:r>
        <w:rPr>
          <w:rFonts w:ascii="Times New Roman" w:hAnsi="Times New Roman" w:eastAsia="Times New Roman" w:cs="Times New Roman"/>
          <w:kern w:val="0"/>
          <w:sz w:val="24"/>
        </w:rPr>
        <w:t>19  </w:t>
      </w:r>
      <w:r>
        <w:rPr>
          <w:rFonts w:ascii="宋体" w:hAnsi="宋体" w:eastAsia="宋体" w:cs="宋体"/>
          <w:kern w:val="0"/>
          <w:sz w:val="24"/>
        </w:rPr>
        <w:t>人，年末遗属人员：</w:t>
      </w:r>
      <w:r>
        <w:rPr>
          <w:rFonts w:ascii="Times New Roman" w:hAnsi="Times New Roman" w:eastAsia="Times New Roman" w:cs="Times New Roman"/>
          <w:kern w:val="0"/>
          <w:sz w:val="24"/>
        </w:rPr>
        <w:t xml:space="preserve"> 0 </w:t>
      </w:r>
      <w:r>
        <w:rPr>
          <w:rFonts w:ascii="宋体" w:hAnsi="宋体" w:eastAsia="宋体" w:cs="宋体"/>
          <w:kern w:val="0"/>
          <w:sz w:val="24"/>
        </w:rPr>
        <w:t>人，如有变动请分析原因。</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宋体" w:hAnsi="宋体" w:eastAsia="宋体" w:cs="宋体"/>
          <w:kern w:val="0"/>
          <w:sz w:val="28"/>
          <w:szCs w:val="28"/>
        </w:rPr>
        <w:t>（二）当年取得的主要事业成效。</w:t>
      </w:r>
    </w:p>
    <w:p>
      <w:pPr>
        <w:snapToGrid w:val="0"/>
        <w:spacing w:line="520" w:lineRule="exact"/>
        <w:ind w:firstLine="480" w:firstLineChars="200"/>
        <w:rPr>
          <w:rFonts w:hint="default" w:ascii="Times New Roman" w:hAnsi="Times New Roman" w:eastAsia="Times New Roman" w:cs="Times New Roman"/>
          <w:kern w:val="0"/>
          <w:sz w:val="24"/>
          <w:lang w:val="en-US" w:eastAsia="zh-CN"/>
        </w:rPr>
      </w:pPr>
      <w:r>
        <w:rPr>
          <w:rFonts w:ascii="Times New Roman" w:hAnsi="Times New Roman" w:eastAsia="Times New Roman" w:cs="Times New Roman"/>
          <w:kern w:val="0"/>
          <w:sz w:val="24"/>
        </w:rPr>
        <w:t xml:space="preserve">          </w:t>
      </w:r>
      <w:r>
        <w:rPr>
          <w:rFonts w:hint="eastAsia" w:ascii="Times New Roman" w:hAnsi="Times New Roman" w:eastAsia="Times New Roman" w:cs="Times New Roman"/>
          <w:kern w:val="0"/>
          <w:sz w:val="24"/>
          <w:lang w:val="en-US" w:eastAsia="zh-CN"/>
        </w:rPr>
        <w:t>1、强化民生保障确保稳定健康发展保改善民生保障。2、加强安全监管提升安全监管水平。3、狠抓责任落实促进工作作风转变。4、创新党建举措提升党建工作水平。事业成效比往年显著。</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二、收入支出预算执行情况分析</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xml:space="preserve">        </w:t>
      </w:r>
      <w:r>
        <w:rPr>
          <w:rFonts w:ascii="宋体" w:hAnsi="宋体" w:eastAsia="宋体" w:cs="宋体"/>
          <w:kern w:val="0"/>
          <w:sz w:val="28"/>
          <w:szCs w:val="28"/>
        </w:rPr>
        <w:t>（一）收入支出预算安排情况。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包括单位收入、支出年初预算安排情况，与上年对比情况及增减变动原因</w:t>
      </w:r>
      <w:r>
        <w:rPr>
          <w:rFonts w:ascii="Times New Roman" w:hAnsi="Times New Roman" w:eastAsia="Times New Roman" w:cs="Times New Roman"/>
          <w:kern w:val="0"/>
          <w:sz w:val="24"/>
        </w:rPr>
        <w:t>(</w:t>
      </w:r>
      <w:r>
        <w:rPr>
          <w:rFonts w:ascii="宋体" w:hAnsi="宋体" w:eastAsia="宋体" w:cs="宋体"/>
          <w:kern w:val="0"/>
          <w:sz w:val="24"/>
        </w:rPr>
        <w:t>可用柱形图或折线图</w:t>
      </w:r>
      <w:r>
        <w:rPr>
          <w:rFonts w:ascii="Times New Roman" w:hAnsi="Times New Roman" w:eastAsia="Times New Roman" w:cs="Times New Roman"/>
          <w:kern w:val="0"/>
          <w:sz w:val="24"/>
        </w:rPr>
        <w:t>)</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一般公共预算财政拨款收入</w:t>
      </w:r>
      <w:r>
        <w:rPr>
          <w:rFonts w:hint="eastAsia" w:cs="Times New Roman"/>
          <w:kern w:val="0"/>
          <w:sz w:val="24"/>
          <w:lang w:val="en-US" w:eastAsia="zh-CN"/>
        </w:rPr>
        <w:t>5728732.62元，</w:t>
      </w:r>
      <w:r>
        <w:rPr>
          <w:rFonts w:ascii="宋体" w:hAnsi="宋体" w:eastAsia="宋体" w:cs="宋体"/>
          <w:kern w:val="0"/>
          <w:sz w:val="24"/>
        </w:rPr>
        <w:t>年初预算数为：</w:t>
      </w:r>
      <w:r>
        <w:rPr>
          <w:rFonts w:ascii="Times New Roman" w:hAnsi="Times New Roman" w:eastAsia="Times New Roman" w:cs="Times New Roman"/>
          <w:kern w:val="0"/>
          <w:sz w:val="24"/>
        </w:rPr>
        <w:t>8,291,677.49</w:t>
      </w:r>
      <w:r>
        <w:rPr>
          <w:rFonts w:ascii="宋体" w:hAnsi="宋体" w:eastAsia="宋体" w:cs="宋体"/>
          <w:kern w:val="0"/>
          <w:sz w:val="24"/>
        </w:rPr>
        <w:t>元，一般公共预算财政拨款收入</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5,728,732.62</w:t>
      </w:r>
      <w:r>
        <w:rPr>
          <w:rFonts w:ascii="宋体" w:hAnsi="宋体" w:eastAsia="宋体" w:cs="宋体"/>
          <w:kern w:val="0"/>
          <w:sz w:val="24"/>
        </w:rPr>
        <w:t>元，基本支出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1,941,677.49</w:t>
      </w:r>
      <w:r>
        <w:rPr>
          <w:rFonts w:ascii="宋体" w:hAnsi="宋体" w:eastAsia="宋体" w:cs="宋体"/>
          <w:kern w:val="0"/>
          <w:sz w:val="24"/>
        </w:rPr>
        <w:t>元，基本支出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3,6</w:t>
      </w:r>
      <w:r>
        <w:rPr>
          <w:rFonts w:hint="eastAsia" w:cs="Times New Roman"/>
          <w:kern w:val="0"/>
          <w:sz w:val="24"/>
          <w:lang w:val="en-US" w:eastAsia="zh-CN"/>
        </w:rPr>
        <w:t>8</w:t>
      </w:r>
      <w:r>
        <w:rPr>
          <w:rFonts w:ascii="Times New Roman" w:hAnsi="Times New Roman" w:eastAsia="Times New Roman" w:cs="Times New Roman"/>
          <w:kern w:val="0"/>
          <w:sz w:val="24"/>
        </w:rPr>
        <w:t>2,298.61</w:t>
      </w:r>
      <w:r>
        <w:rPr>
          <w:rFonts w:ascii="宋体" w:hAnsi="宋体" w:eastAsia="宋体" w:cs="宋体"/>
          <w:kern w:val="0"/>
          <w:sz w:val="24"/>
        </w:rPr>
        <w:t>元，政府性基金预算财政拨款收入</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元，政府性基金预算财政拨款收入</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元，本年收入合计</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8,291,677.49</w:t>
      </w:r>
      <w:r>
        <w:rPr>
          <w:rFonts w:ascii="宋体" w:hAnsi="宋体" w:eastAsia="宋体" w:cs="宋体"/>
          <w:kern w:val="0"/>
          <w:sz w:val="24"/>
        </w:rPr>
        <w:t>元，本年收入合计</w:t>
      </w:r>
      <w:r>
        <w:rPr>
          <w:rFonts w:ascii="Times New Roman" w:hAnsi="Times New Roman" w:eastAsia="Times New Roman" w:cs="Times New Roman"/>
          <w:kern w:val="0"/>
          <w:sz w:val="24"/>
        </w:rPr>
        <w:t>__</w:t>
      </w:r>
      <w:r>
        <w:rPr>
          <w:rFonts w:ascii="宋体" w:hAnsi="宋体" w:eastAsia="宋体" w:cs="宋体"/>
          <w:kern w:val="0"/>
          <w:sz w:val="24"/>
        </w:rPr>
        <w:t>决算数为：</w:t>
      </w:r>
      <w:r>
        <w:rPr>
          <w:rFonts w:ascii="Times New Roman" w:hAnsi="Times New Roman" w:eastAsia="Times New Roman" w:cs="Times New Roman"/>
          <w:kern w:val="0"/>
          <w:sz w:val="24"/>
        </w:rPr>
        <w:t>5,728,732.62</w:t>
      </w:r>
      <w:r>
        <w:rPr>
          <w:rFonts w:ascii="宋体" w:hAnsi="宋体" w:eastAsia="宋体" w:cs="宋体"/>
          <w:kern w:val="0"/>
          <w:sz w:val="24"/>
        </w:rPr>
        <w:t>元，本年支出合计</w:t>
      </w:r>
      <w:r>
        <w:rPr>
          <w:rFonts w:ascii="Times New Roman" w:hAnsi="Times New Roman" w:eastAsia="Times New Roman" w:cs="Times New Roman"/>
          <w:kern w:val="0"/>
          <w:sz w:val="24"/>
        </w:rPr>
        <w:t>_</w:t>
      </w:r>
      <w:r>
        <w:rPr>
          <w:rFonts w:ascii="宋体" w:hAnsi="宋体" w:eastAsia="宋体" w:cs="宋体"/>
          <w:kern w:val="0"/>
          <w:sz w:val="24"/>
        </w:rPr>
        <w:t>年初预算数为：收入支出决算总表</w:t>
      </w:r>
      <w:r>
        <w:rPr>
          <w:rFonts w:ascii="Times New Roman" w:hAnsi="Times New Roman" w:eastAsia="Times New Roman" w:cs="Times New Roman"/>
          <w:kern w:val="0"/>
          <w:sz w:val="24"/>
        </w:rPr>
        <w:t>-</w:t>
      </w:r>
      <w:r>
        <w:rPr>
          <w:rFonts w:ascii="宋体" w:hAnsi="宋体" w:eastAsia="宋体" w:cs="宋体"/>
          <w:kern w:val="0"/>
          <w:sz w:val="24"/>
        </w:rPr>
        <w:t>本年支出合计</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年初预算数元，本年支出合计</w:t>
      </w:r>
      <w:r>
        <w:rPr>
          <w:rFonts w:ascii="Times New Roman" w:hAnsi="Times New Roman" w:eastAsia="Times New Roman" w:cs="Times New Roman"/>
          <w:kern w:val="0"/>
          <w:sz w:val="24"/>
        </w:rPr>
        <w:t>_</w:t>
      </w:r>
      <w:r>
        <w:rPr>
          <w:rFonts w:ascii="宋体" w:hAnsi="宋体" w:eastAsia="宋体" w:cs="宋体"/>
          <w:kern w:val="0"/>
          <w:sz w:val="24"/>
        </w:rPr>
        <w:t>决算数为：收入支出决算总表</w:t>
      </w:r>
      <w:r>
        <w:rPr>
          <w:rFonts w:ascii="Times New Roman" w:hAnsi="Times New Roman" w:eastAsia="Times New Roman" w:cs="Times New Roman"/>
          <w:kern w:val="0"/>
          <w:sz w:val="24"/>
        </w:rPr>
        <w:t>-</w:t>
      </w:r>
      <w:r>
        <w:rPr>
          <w:rFonts w:ascii="宋体" w:hAnsi="宋体" w:eastAsia="宋体" w:cs="宋体"/>
          <w:kern w:val="0"/>
          <w:sz w:val="24"/>
        </w:rPr>
        <w:t>本年支出合计</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决算数元，年末结转和结余</w:t>
      </w:r>
      <w:r>
        <w:rPr>
          <w:rFonts w:ascii="Times New Roman" w:hAnsi="Times New Roman" w:eastAsia="Times New Roman" w:cs="Times New Roman"/>
          <w:kern w:val="0"/>
          <w:sz w:val="24"/>
        </w:rPr>
        <w:t>_</w:t>
      </w:r>
      <w:r>
        <w:rPr>
          <w:rFonts w:ascii="宋体" w:hAnsi="宋体" w:eastAsia="宋体" w:cs="宋体"/>
          <w:kern w:val="0"/>
          <w:sz w:val="24"/>
        </w:rPr>
        <w:t>决算数为：收入支出决算总表</w:t>
      </w:r>
      <w:r>
        <w:rPr>
          <w:rFonts w:ascii="Times New Roman" w:hAnsi="Times New Roman" w:eastAsia="Times New Roman" w:cs="Times New Roman"/>
          <w:kern w:val="0"/>
          <w:sz w:val="24"/>
        </w:rPr>
        <w:t>-</w:t>
      </w:r>
      <w:r>
        <w:rPr>
          <w:rFonts w:ascii="宋体" w:hAnsi="宋体" w:eastAsia="宋体" w:cs="宋体"/>
          <w:kern w:val="0"/>
          <w:sz w:val="24"/>
        </w:rPr>
        <w:t>年末结转和结余</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决算数元。</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一般公共服务支出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元，般公共服务支出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元，人员经费</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1,881,677.49</w:t>
      </w:r>
      <w:r>
        <w:rPr>
          <w:rFonts w:ascii="宋体" w:hAnsi="宋体" w:eastAsia="宋体" w:cs="宋体"/>
          <w:kern w:val="0"/>
          <w:sz w:val="24"/>
        </w:rPr>
        <w:t>元，人员经费</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3,602,298.61</w:t>
      </w:r>
      <w:r>
        <w:rPr>
          <w:rFonts w:ascii="宋体" w:hAnsi="宋体" w:eastAsia="宋体" w:cs="宋体"/>
          <w:kern w:val="0"/>
          <w:sz w:val="24"/>
        </w:rPr>
        <w:t>元，公共安全支出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元，公共安全支出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元，项目支出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6350000</w:t>
      </w:r>
      <w:r>
        <w:rPr>
          <w:rFonts w:ascii="宋体" w:hAnsi="宋体" w:eastAsia="宋体" w:cs="宋体"/>
          <w:kern w:val="0"/>
          <w:sz w:val="24"/>
        </w:rPr>
        <w:t>元，项目支出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2,066,434.01</w:t>
      </w:r>
      <w:r>
        <w:rPr>
          <w:rFonts w:ascii="宋体" w:hAnsi="宋体" w:eastAsia="宋体" w:cs="宋体"/>
          <w:kern w:val="0"/>
          <w:sz w:val="24"/>
        </w:rPr>
        <w:t>元，事业收入</w:t>
      </w:r>
      <w:r>
        <w:rPr>
          <w:rFonts w:ascii="Times New Roman" w:hAnsi="Times New Roman" w:eastAsia="Times New Roman" w:cs="Times New Roman"/>
          <w:kern w:val="0"/>
          <w:sz w:val="24"/>
        </w:rPr>
        <w:t>_</w:t>
      </w:r>
      <w:r>
        <w:rPr>
          <w:rFonts w:ascii="宋体" w:hAnsi="宋体" w:eastAsia="宋体" w:cs="宋体"/>
          <w:kern w:val="0"/>
          <w:sz w:val="24"/>
        </w:rPr>
        <w:t>收入</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元，事业收入</w:t>
      </w:r>
      <w:r>
        <w:rPr>
          <w:rFonts w:ascii="Times New Roman" w:hAnsi="Times New Roman" w:eastAsia="Times New Roman" w:cs="Times New Roman"/>
          <w:kern w:val="0"/>
          <w:sz w:val="24"/>
        </w:rPr>
        <w:t>_</w:t>
      </w:r>
      <w:r>
        <w:rPr>
          <w:rFonts w:ascii="宋体" w:hAnsi="宋体" w:eastAsia="宋体" w:cs="宋体"/>
          <w:kern w:val="0"/>
          <w:sz w:val="24"/>
        </w:rPr>
        <w:t>收入</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元，教育支出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元，教育支出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元，文化旅游体育与传媒支出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元，文化旅游体育与传媒支出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元，社会保障和就业支出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元，社会保障和就业支出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元，卫生健康支出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元，卫生健康支出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元，城乡社区支出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年初预算数为：</w:t>
      </w:r>
      <w:r>
        <w:rPr>
          <w:rFonts w:ascii="Times New Roman" w:hAnsi="Times New Roman" w:eastAsia="Times New Roman" w:cs="Times New Roman"/>
          <w:kern w:val="0"/>
          <w:sz w:val="24"/>
        </w:rPr>
        <w:t>0</w:t>
      </w:r>
      <w:r>
        <w:rPr>
          <w:rFonts w:ascii="宋体" w:hAnsi="宋体" w:eastAsia="宋体" w:cs="宋体"/>
          <w:kern w:val="0"/>
          <w:sz w:val="24"/>
        </w:rPr>
        <w:t>元，城乡社区支出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工资福利支出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3,6</w:t>
      </w:r>
      <w:r>
        <w:rPr>
          <w:rFonts w:hint="eastAsia" w:cs="Times New Roman"/>
          <w:kern w:val="0"/>
          <w:sz w:val="24"/>
          <w:lang w:val="en-US" w:eastAsia="zh-CN"/>
        </w:rPr>
        <w:t>2</w:t>
      </w:r>
      <w:r>
        <w:rPr>
          <w:rFonts w:ascii="Times New Roman" w:hAnsi="Times New Roman" w:eastAsia="Times New Roman" w:cs="Times New Roman"/>
          <w:kern w:val="0"/>
          <w:sz w:val="24"/>
        </w:rPr>
        <w:t>6,298.61</w:t>
      </w:r>
      <w:r>
        <w:rPr>
          <w:rFonts w:ascii="宋体" w:hAnsi="宋体" w:eastAsia="宋体" w:cs="宋体"/>
          <w:kern w:val="0"/>
          <w:sz w:val="24"/>
        </w:rPr>
        <w:t>元，商品和服务支出</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1,563,911.01</w:t>
      </w:r>
      <w:r>
        <w:rPr>
          <w:rFonts w:ascii="宋体" w:hAnsi="宋体" w:eastAsia="宋体" w:cs="宋体"/>
          <w:kern w:val="0"/>
          <w:sz w:val="24"/>
        </w:rPr>
        <w:t>元，对个人和家庭的补助</w:t>
      </w:r>
      <w:r>
        <w:rPr>
          <w:rFonts w:ascii="Times New Roman" w:hAnsi="Times New Roman" w:eastAsia="Times New Roman" w:cs="Times New Roman"/>
          <w:kern w:val="0"/>
          <w:sz w:val="24"/>
        </w:rPr>
        <w:t>_</w:t>
      </w:r>
      <w:r>
        <w:rPr>
          <w:rFonts w:ascii="宋体" w:hAnsi="宋体" w:eastAsia="宋体" w:cs="宋体"/>
          <w:kern w:val="0"/>
          <w:sz w:val="24"/>
        </w:rPr>
        <w:t>支出</w:t>
      </w:r>
      <w:r>
        <w:rPr>
          <w:rFonts w:ascii="Times New Roman" w:hAnsi="Times New Roman" w:eastAsia="Times New Roman" w:cs="Times New Roman"/>
          <w:kern w:val="0"/>
          <w:sz w:val="24"/>
        </w:rPr>
        <w:t>_</w:t>
      </w:r>
      <w:r>
        <w:rPr>
          <w:rFonts w:ascii="宋体" w:hAnsi="宋体" w:eastAsia="宋体" w:cs="宋体"/>
          <w:kern w:val="0"/>
          <w:sz w:val="24"/>
        </w:rPr>
        <w:t>决算数为：</w:t>
      </w:r>
      <w:r>
        <w:rPr>
          <w:rFonts w:ascii="Times New Roman" w:hAnsi="Times New Roman" w:eastAsia="Times New Roman" w:cs="Times New Roman"/>
          <w:kern w:val="0"/>
          <w:sz w:val="24"/>
        </w:rPr>
        <w:t>0</w:t>
      </w:r>
      <w:r>
        <w:rPr>
          <w:rFonts w:ascii="宋体" w:hAnsi="宋体" w:eastAsia="宋体" w:cs="宋体"/>
          <w:kern w:val="0"/>
          <w:sz w:val="24"/>
        </w:rPr>
        <w:t>元。</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（二）收入支出预算执行情况。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宋体" w:hAnsi="宋体" w:eastAsia="宋体" w:cs="宋体"/>
          <w:kern w:val="0"/>
          <w:sz w:val="24"/>
        </w:rPr>
        <w:t>当年收入支出预算执行基本情况，与上年度对比情况，包括增减绝对值与幅度，增减变动主要原因</w:t>
      </w:r>
      <w:r>
        <w:rPr>
          <w:rFonts w:ascii="Times New Roman" w:hAnsi="Times New Roman" w:eastAsia="Times New Roman" w:cs="Times New Roman"/>
          <w:kern w:val="0"/>
          <w:sz w:val="24"/>
        </w:rPr>
        <w:t>   </w:t>
      </w:r>
    </w:p>
    <w:p>
      <w:pPr>
        <w:widowControl/>
        <w:spacing w:before="240" w:after="240"/>
        <w:jc w:val="left"/>
        <w:rPr>
          <w:rFonts w:hint="default" w:ascii="Times New Roman" w:hAnsi="Times New Roman" w:eastAsia="宋体" w:cs="Times New Roman"/>
          <w:kern w:val="0"/>
          <w:sz w:val="24"/>
          <w:lang w:val="en-US" w:eastAsia="zh-CN"/>
        </w:rPr>
      </w:pPr>
      <w:r>
        <w:rPr>
          <w:rFonts w:hint="eastAsia" w:cs="Times New Roman"/>
          <w:kern w:val="0"/>
          <w:sz w:val="24"/>
          <w:lang w:val="en-US" w:eastAsia="zh-CN"/>
        </w:rPr>
        <w:t>2022年572.87万元，比上年增长265.65元，增长86.47%，原因：1、人员增加9人（单位合并人员增加3人、新录入职员6人），2、与内蒙古奈曼孟家段国家湿地管护中心单位合并上级专项增加。3年初地方项目增加。</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1</w:t>
      </w:r>
      <w:r>
        <w:rPr>
          <w:rFonts w:ascii="宋体" w:hAnsi="宋体" w:eastAsia="宋体" w:cs="宋体"/>
          <w:kern w:val="0"/>
          <w:sz w:val="24"/>
          <w:szCs w:val="24"/>
        </w:rPr>
        <w:t>．收入支出与预算对比分析。</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1</w:t>
      </w:r>
      <w:r>
        <w:rPr>
          <w:rFonts w:ascii="宋体" w:hAnsi="宋体" w:eastAsia="宋体" w:cs="宋体"/>
          <w:kern w:val="0"/>
          <w:sz w:val="24"/>
        </w:rPr>
        <w:t>）预、决算差异情况，可分收入支出功能科目、分单位、分收入支出具体项目逐项对比（可列表）。</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2130148渔业成品油价改革财政补贴</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2130212湿地公园保护区项目</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2130234湿地公园冬春季防火经费</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2130304孟家段公用经费</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2130305春季蓄水资金</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2080505事业单位基本养老保险经费支出</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2080506事业单位职业年金缴费支出</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2101102事业单位医疗</w:t>
      </w:r>
    </w:p>
    <w:p>
      <w:pPr>
        <w:widowControl/>
        <w:spacing w:before="240" w:after="240"/>
        <w:jc w:val="left"/>
        <w:rPr>
          <w:rFonts w:hint="default" w:ascii="宋体" w:hAnsi="宋体" w:cs="宋体"/>
          <w:kern w:val="0"/>
          <w:sz w:val="24"/>
          <w:lang w:val="en-US" w:eastAsia="zh-CN"/>
        </w:rPr>
      </w:pPr>
      <w:r>
        <w:rPr>
          <w:rFonts w:hint="eastAsia" w:ascii="宋体" w:hAnsi="宋体" w:cs="宋体"/>
          <w:kern w:val="0"/>
          <w:sz w:val="24"/>
          <w:lang w:val="en-US" w:eastAsia="zh-CN"/>
        </w:rPr>
        <w:t>2210201住房公积金支出</w:t>
      </w:r>
    </w:p>
    <w:p>
      <w:pPr>
        <w:widowControl/>
        <w:spacing w:before="240" w:after="240"/>
        <w:jc w:val="left"/>
        <w:rPr>
          <w:rFonts w:ascii="宋体" w:hAnsi="宋体" w:eastAsia="宋体" w:cs="宋体"/>
          <w:kern w:val="0"/>
          <w:sz w:val="24"/>
        </w:rPr>
      </w:pPr>
    </w:p>
    <w:p>
      <w:pPr>
        <w:widowControl/>
        <w:numPr>
          <w:ilvl w:val="0"/>
          <w:numId w:val="1"/>
        </w:numPr>
        <w:spacing w:before="240" w:after="240"/>
        <w:ind w:left="900" w:leftChars="0" w:firstLine="0" w:firstLineChars="0"/>
        <w:jc w:val="left"/>
        <w:rPr>
          <w:rFonts w:ascii="宋体" w:hAnsi="宋体" w:eastAsia="宋体" w:cs="宋体"/>
          <w:kern w:val="0"/>
          <w:sz w:val="24"/>
        </w:rPr>
      </w:pPr>
      <w:r>
        <w:rPr>
          <w:rFonts w:ascii="宋体" w:hAnsi="宋体" w:eastAsia="宋体" w:cs="宋体"/>
          <w:kern w:val="0"/>
          <w:sz w:val="24"/>
        </w:rPr>
        <w:t>差异原因分析。差异较大的应分析到具体收入支出功能科目和具体单位。</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单位合并导致项目资金增大，2022年非税收入纳入国库，单位经费人员经费增加。如：2130212湿地公园保护区项目、2130234湿地公园冬春季防火经费。2130304孟家段公用经费。</w:t>
      </w:r>
    </w:p>
    <w:p>
      <w:pPr>
        <w:widowControl/>
        <w:spacing w:before="240" w:after="240"/>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2</w:t>
      </w:r>
      <w:r>
        <w:rPr>
          <w:rFonts w:ascii="宋体" w:hAnsi="宋体" w:eastAsia="宋体" w:cs="宋体"/>
          <w:kern w:val="0"/>
          <w:sz w:val="24"/>
          <w:szCs w:val="24"/>
        </w:rPr>
        <w:t>．收入支出结构分析。</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1</w:t>
      </w:r>
      <w:r>
        <w:rPr>
          <w:rFonts w:ascii="宋体" w:hAnsi="宋体" w:eastAsia="宋体" w:cs="宋体"/>
          <w:kern w:val="0"/>
          <w:sz w:val="24"/>
        </w:rPr>
        <w:t>）各项收入占总收入的比重，各项支出占总支出的比重（可分别制作饼状图）。</w:t>
      </w:r>
    </w:p>
    <w:p>
      <w:pPr>
        <w:widowControl/>
        <w:spacing w:before="240" w:after="24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2022年人员经费362.63万元，占总收入63.3%。公用经费6万元，占总收入1.05%。项目专项35.65%。收入与支出一致。</w:t>
      </w:r>
    </w:p>
    <w:p>
      <w:pPr>
        <w:widowControl/>
        <w:numPr>
          <w:ilvl w:val="0"/>
          <w:numId w:val="1"/>
        </w:numPr>
        <w:spacing w:before="240" w:after="240"/>
        <w:ind w:left="900" w:leftChars="0" w:firstLine="0" w:firstLineChars="0"/>
        <w:jc w:val="left"/>
        <w:rPr>
          <w:rFonts w:ascii="宋体" w:hAnsi="宋体" w:eastAsia="宋体" w:cs="宋体"/>
          <w:kern w:val="0"/>
          <w:sz w:val="24"/>
        </w:rPr>
      </w:pPr>
      <w:r>
        <w:rPr>
          <w:rFonts w:ascii="宋体" w:hAnsi="宋体" w:eastAsia="宋体" w:cs="宋体"/>
          <w:kern w:val="0"/>
          <w:sz w:val="24"/>
        </w:rPr>
        <w:t>收入支出与上年度对比情况及原因分析</w:t>
      </w:r>
      <w:r>
        <w:rPr>
          <w:rFonts w:ascii="Times New Roman" w:hAnsi="Times New Roman" w:eastAsia="Times New Roman" w:cs="Times New Roman"/>
          <w:kern w:val="0"/>
          <w:sz w:val="24"/>
        </w:rPr>
        <w:t>(</w:t>
      </w:r>
      <w:r>
        <w:rPr>
          <w:rFonts w:ascii="宋体" w:hAnsi="宋体" w:eastAsia="宋体" w:cs="宋体"/>
          <w:kern w:val="0"/>
          <w:sz w:val="24"/>
        </w:rPr>
        <w:t>可用柱形图或折线图</w:t>
      </w:r>
      <w:r>
        <w:rPr>
          <w:rFonts w:ascii="Times New Roman" w:hAnsi="Times New Roman" w:eastAsia="Times New Roman" w:cs="Times New Roman"/>
          <w:kern w:val="0"/>
          <w:sz w:val="24"/>
        </w:rPr>
        <w:t>)</w:t>
      </w:r>
      <w:r>
        <w:rPr>
          <w:rFonts w:ascii="宋体" w:hAnsi="宋体" w:eastAsia="宋体" w:cs="宋体"/>
          <w:kern w:val="0"/>
          <w:sz w:val="24"/>
        </w:rPr>
        <w:t>。</w:t>
      </w:r>
    </w:p>
    <w:p>
      <w:pPr>
        <w:widowControl/>
        <w:numPr>
          <w:ilvl w:val="0"/>
          <w:numId w:val="0"/>
        </w:numPr>
        <w:spacing w:before="240" w:after="24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2022年收入支出572.87万元较2021年收入支出307.22万元，增加86.47%，原因：2022年单位合并，各项人员经费及公用经费增加，上级专项资金及孟家段水库地方专项增加导致形成。</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3</w:t>
      </w:r>
      <w:r>
        <w:rPr>
          <w:rFonts w:ascii="宋体" w:hAnsi="宋体" w:eastAsia="宋体" w:cs="宋体"/>
          <w:kern w:val="0"/>
          <w:sz w:val="24"/>
          <w:szCs w:val="24"/>
        </w:rPr>
        <w:t>．支出按经济分类科目分析。</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w:t>
      </w:r>
      <w:r>
        <w:rPr>
          <w:rFonts w:ascii="Times New Roman" w:hAnsi="Times New Roman" w:eastAsia="Times New Roman" w:cs="Times New Roman"/>
          <w:kern w:val="0"/>
          <w:sz w:val="24"/>
        </w:rPr>
        <w:t>1</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三公</w:t>
      </w:r>
      <w:r>
        <w:rPr>
          <w:rFonts w:ascii="Times New Roman" w:hAnsi="Times New Roman" w:eastAsia="Times New Roman" w:cs="Times New Roman"/>
          <w:kern w:val="0"/>
          <w:sz w:val="24"/>
        </w:rPr>
        <w:t>”</w:t>
      </w:r>
      <w:r>
        <w:rPr>
          <w:rFonts w:ascii="宋体" w:hAnsi="宋体" w:eastAsia="宋体" w:cs="宋体"/>
          <w:kern w:val="0"/>
          <w:sz w:val="24"/>
        </w:rPr>
        <w:t>经费支出情况：可进行上下年对比、预决算对比。分析</w:t>
      </w:r>
      <w:r>
        <w:rPr>
          <w:rFonts w:ascii="Times New Roman" w:hAnsi="Times New Roman" w:eastAsia="Times New Roman" w:cs="Times New Roman"/>
          <w:kern w:val="0"/>
          <w:sz w:val="24"/>
        </w:rPr>
        <w:t>“</w:t>
      </w:r>
      <w:r>
        <w:rPr>
          <w:rFonts w:ascii="宋体" w:hAnsi="宋体" w:eastAsia="宋体" w:cs="宋体"/>
          <w:kern w:val="0"/>
          <w:sz w:val="24"/>
        </w:rPr>
        <w:t>三公</w:t>
      </w:r>
      <w:r>
        <w:rPr>
          <w:rFonts w:ascii="Times New Roman" w:hAnsi="Times New Roman" w:eastAsia="Times New Roman" w:cs="Times New Roman"/>
          <w:kern w:val="0"/>
          <w:sz w:val="24"/>
        </w:rPr>
        <w:t>”</w:t>
      </w:r>
      <w:r>
        <w:rPr>
          <w:rFonts w:ascii="宋体" w:hAnsi="宋体" w:eastAsia="宋体" w:cs="宋体"/>
          <w:kern w:val="0"/>
          <w:sz w:val="24"/>
        </w:rPr>
        <w:t>经费实物量情况，例如公务用车购置及保有量、因公出国（境）团组数及人数和公务接待批次及人数等情况与分析。动用上年结转用于三公经费的情况与原因。</w:t>
      </w:r>
    </w:p>
    <w:p>
      <w:pPr>
        <w:widowControl/>
        <w:spacing w:before="240" w:after="24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2"/>
        </w:numPr>
        <w:spacing w:before="240" w:after="240"/>
        <w:ind w:left="780" w:leftChars="0" w:firstLine="0" w:firstLineChars="0"/>
        <w:jc w:val="left"/>
        <w:rPr>
          <w:rFonts w:ascii="宋体" w:hAnsi="宋体" w:eastAsia="宋体" w:cs="宋体"/>
          <w:kern w:val="0"/>
          <w:sz w:val="24"/>
        </w:rPr>
      </w:pPr>
      <w:r>
        <w:rPr>
          <w:rFonts w:ascii="宋体" w:hAnsi="宋体" w:eastAsia="宋体" w:cs="宋体"/>
          <w:kern w:val="0"/>
          <w:sz w:val="24"/>
        </w:rPr>
        <w:t>会议费支出情况：可进行上下年对比</w:t>
      </w:r>
      <w:r>
        <w:rPr>
          <w:rFonts w:ascii="Times New Roman" w:hAnsi="Times New Roman" w:eastAsia="Times New Roman" w:cs="Times New Roman"/>
          <w:kern w:val="0"/>
          <w:sz w:val="24"/>
        </w:rPr>
        <w:t>,</w:t>
      </w:r>
      <w:r>
        <w:rPr>
          <w:rFonts w:ascii="宋体" w:hAnsi="宋体" w:eastAsia="宋体" w:cs="宋体"/>
          <w:kern w:val="0"/>
          <w:sz w:val="24"/>
        </w:rPr>
        <w:t>人均支出情况分析（可做表、柱图、折线图）。</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2"/>
        </w:numPr>
        <w:spacing w:before="240" w:after="240"/>
        <w:ind w:left="780" w:leftChars="0" w:firstLine="0" w:firstLineChars="0"/>
        <w:jc w:val="left"/>
        <w:rPr>
          <w:rFonts w:ascii="宋体" w:hAnsi="宋体" w:eastAsia="宋体" w:cs="宋体"/>
          <w:kern w:val="0"/>
          <w:sz w:val="24"/>
        </w:rPr>
      </w:pPr>
      <w:r>
        <w:rPr>
          <w:rFonts w:ascii="宋体" w:hAnsi="宋体" w:eastAsia="宋体" w:cs="宋体"/>
          <w:kern w:val="0"/>
          <w:sz w:val="24"/>
        </w:rPr>
        <w:t>培训费支出情况：可进行上下年对比，人均支出情况分析（可做表、柱图、折线</w:t>
      </w:r>
    </w:p>
    <w:p>
      <w:pPr>
        <w:widowControl/>
        <w:numPr>
          <w:ilvl w:val="0"/>
          <w:numId w:val="0"/>
        </w:numPr>
        <w:spacing w:before="240" w:after="240"/>
        <w:ind w:left="780" w:leftChars="0"/>
        <w:jc w:val="left"/>
        <w:rPr>
          <w:rFonts w:ascii="宋体" w:hAnsi="宋体" w:eastAsia="宋体" w:cs="宋体"/>
          <w:kern w:val="0"/>
          <w:sz w:val="24"/>
        </w:rPr>
      </w:pPr>
      <w:r>
        <w:rPr>
          <w:rFonts w:ascii="宋体" w:hAnsi="宋体" w:eastAsia="宋体" w:cs="宋体"/>
          <w:kern w:val="0"/>
          <w:sz w:val="24"/>
        </w:rPr>
        <w:t>图）。</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2"/>
        </w:numPr>
        <w:spacing w:before="240" w:after="240"/>
        <w:ind w:left="780" w:leftChars="0" w:firstLine="0" w:firstLineChars="0"/>
        <w:jc w:val="left"/>
        <w:rPr>
          <w:rFonts w:ascii="宋体" w:hAnsi="宋体" w:eastAsia="宋体" w:cs="宋体"/>
          <w:kern w:val="0"/>
          <w:sz w:val="24"/>
        </w:rPr>
      </w:pPr>
      <w:r>
        <w:rPr>
          <w:rFonts w:ascii="宋体" w:hAnsi="宋体" w:eastAsia="宋体" w:cs="宋体"/>
          <w:kern w:val="0"/>
          <w:sz w:val="24"/>
        </w:rPr>
        <w:t>其他对单位影响较大的支出情况。</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2"/>
        </w:numPr>
        <w:spacing w:before="240" w:after="240"/>
        <w:ind w:left="780" w:leftChars="0" w:firstLine="0" w:firstLineChars="0"/>
        <w:jc w:val="left"/>
        <w:rPr>
          <w:rFonts w:ascii="宋体" w:hAnsi="宋体" w:eastAsia="宋体" w:cs="宋体"/>
          <w:kern w:val="0"/>
          <w:sz w:val="24"/>
        </w:rPr>
      </w:pPr>
      <w:r>
        <w:rPr>
          <w:rFonts w:ascii="宋体" w:hAnsi="宋体" w:eastAsia="宋体" w:cs="宋体"/>
          <w:kern w:val="0"/>
          <w:sz w:val="24"/>
        </w:rPr>
        <w:t>重点经济分类支出中存在的问题及改进措施。</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4.</w:t>
      </w:r>
      <w:r>
        <w:rPr>
          <w:rFonts w:ascii="宋体" w:hAnsi="宋体" w:eastAsia="宋体" w:cs="宋体"/>
          <w:kern w:val="0"/>
          <w:sz w:val="24"/>
          <w:szCs w:val="24"/>
        </w:rPr>
        <w:t>财政拨款收入、支出分析。</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w:t>
      </w:r>
      <w:r>
        <w:rPr>
          <w:rFonts w:ascii="宋体" w:hAnsi="宋体" w:eastAsia="宋体" w:cs="宋体"/>
          <w:kern w:val="0"/>
          <w:sz w:val="24"/>
        </w:rPr>
        <w:t>根据报表项目分析财政拨款收入、支出情况，支出要按照基本支出和项目支出分析具体构成及特点。</w:t>
      </w:r>
    </w:p>
    <w:p>
      <w:pPr>
        <w:widowControl/>
        <w:spacing w:before="240" w:after="24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2022年总收入572.87万元，基本支出368.63万元，专项支出204.24万元。本年度收入与支出均为一致，主要比上年增长86.47%，本年度变动较大1、单位合并，2、人员合并同时2022年新录入职员6人，3、2022年非税收入纳入国库水库各项经费及人员经费增加，4、专项资金及地方资金增加</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5.</w:t>
      </w:r>
      <w:r>
        <w:rPr>
          <w:rFonts w:ascii="宋体" w:hAnsi="宋体" w:eastAsia="宋体" w:cs="宋体"/>
          <w:kern w:val="0"/>
          <w:sz w:val="24"/>
          <w:szCs w:val="24"/>
        </w:rPr>
        <w:t>非财政拨款收入分析。</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xml:space="preserve">          </w:t>
      </w:r>
      <w:r>
        <w:rPr>
          <w:rFonts w:ascii="宋体" w:hAnsi="宋体" w:eastAsia="宋体" w:cs="宋体"/>
          <w:kern w:val="0"/>
          <w:sz w:val="24"/>
        </w:rPr>
        <w:t>根据报表项目分析非财政拨款收入情况，按照事业收入、经营收入和其他收入等分析具体构成和特点。</w:t>
      </w:r>
    </w:p>
    <w:p>
      <w:pPr>
        <w:widowControl/>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（三）年末结转和结余情况。</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1</w:t>
      </w:r>
      <w:r>
        <w:rPr>
          <w:rFonts w:ascii="宋体" w:hAnsi="宋体" w:eastAsia="宋体" w:cs="宋体"/>
          <w:kern w:val="0"/>
          <w:sz w:val="24"/>
        </w:rPr>
        <w:t>．根据报表项目分财政拨款结转结余和非财政拨款结转结余分析年末结转结余总体情况。按照资金来源、资金性质分析，分别分析基本支出、项目支出结转和结余情况，特别是项目经费结转和结余情况。</w:t>
      </w:r>
    </w:p>
    <w:p>
      <w:pPr>
        <w:widowControl/>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3"/>
        </w:numPr>
        <w:spacing w:before="240" w:after="240"/>
        <w:ind w:left="780" w:leftChars="0" w:firstLine="0" w:firstLineChars="0"/>
        <w:jc w:val="left"/>
        <w:rPr>
          <w:rFonts w:ascii="宋体" w:hAnsi="宋体" w:eastAsia="宋体" w:cs="宋体"/>
          <w:kern w:val="0"/>
          <w:sz w:val="24"/>
        </w:rPr>
      </w:pPr>
      <w:r>
        <w:rPr>
          <w:rFonts w:ascii="宋体" w:hAnsi="宋体" w:eastAsia="宋体" w:cs="宋体"/>
          <w:kern w:val="0"/>
          <w:sz w:val="24"/>
        </w:rPr>
        <w:t>消化结转和结余的对策。</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（四）与预算支出相关的其他指标分析。</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w:t>
      </w:r>
      <w:r>
        <w:rPr>
          <w:rFonts w:ascii="宋体" w:hAnsi="宋体" w:eastAsia="宋体" w:cs="宋体"/>
          <w:kern w:val="0"/>
          <w:sz w:val="24"/>
        </w:rPr>
        <w:t>对资产、负债信息进行分析，主要分析与上年度对比情况，包括增减绝对值与幅度，增减变动主要原因。</w:t>
      </w:r>
    </w:p>
    <w:p>
      <w:pPr>
        <w:widowControl/>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宋体" w:hAnsi="宋体" w:eastAsia="宋体" w:cs="宋体"/>
          <w:kern w:val="0"/>
          <w:sz w:val="28"/>
          <w:szCs w:val="28"/>
        </w:rPr>
        <w:t>（五）绩效目标完成情况。</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1.</w:t>
      </w:r>
      <w:r>
        <w:rPr>
          <w:rFonts w:ascii="宋体" w:hAnsi="宋体" w:eastAsia="宋体" w:cs="宋体"/>
          <w:kern w:val="0"/>
          <w:sz w:val="24"/>
        </w:rPr>
        <w:t>概述项目绩效目标完成情况。</w:t>
      </w:r>
    </w:p>
    <w:p>
      <w:pPr>
        <w:widowControl/>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较好</w:t>
      </w:r>
    </w:p>
    <w:p>
      <w:pPr>
        <w:widowControl/>
        <w:numPr>
          <w:ilvl w:val="0"/>
          <w:numId w:val="3"/>
        </w:numPr>
        <w:spacing w:before="240" w:after="240"/>
        <w:ind w:left="780" w:leftChars="0" w:firstLine="0" w:firstLineChars="0"/>
        <w:jc w:val="left"/>
        <w:rPr>
          <w:rFonts w:ascii="宋体" w:hAnsi="宋体" w:eastAsia="宋体" w:cs="宋体"/>
          <w:kern w:val="0"/>
          <w:sz w:val="24"/>
        </w:rPr>
      </w:pPr>
      <w:r>
        <w:rPr>
          <w:rFonts w:ascii="宋体" w:hAnsi="宋体" w:eastAsia="宋体" w:cs="宋体"/>
          <w:kern w:val="0"/>
          <w:sz w:val="24"/>
        </w:rPr>
        <w:t>概述本单位整体支出绩效目标实现情况（如有）。</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较好</w:t>
      </w:r>
    </w:p>
    <w:p>
      <w:pPr>
        <w:pStyle w:val="4"/>
        <w:keepNext w:val="0"/>
        <w:keepLines w:val="0"/>
        <w:widowControl/>
        <w:numPr>
          <w:ilvl w:val="0"/>
          <w:numId w:val="4"/>
        </w:numPr>
        <w:spacing w:before="281" w:after="281" w:line="240" w:lineRule="auto"/>
        <w:jc w:val="left"/>
        <w:rPr>
          <w:rFonts w:ascii="宋体" w:hAnsi="宋体" w:eastAsia="宋体" w:cs="宋体"/>
          <w:kern w:val="0"/>
          <w:sz w:val="28"/>
          <w:szCs w:val="28"/>
        </w:rPr>
      </w:pPr>
      <w:r>
        <w:rPr>
          <w:rFonts w:ascii="宋体" w:hAnsi="宋体" w:eastAsia="宋体" w:cs="宋体"/>
          <w:kern w:val="0"/>
          <w:sz w:val="28"/>
          <w:szCs w:val="28"/>
        </w:rPr>
        <w:t>当年预算执行及绩效管理中存在问题、原因及改进措施。</w:t>
      </w:r>
    </w:p>
    <w:p>
      <w:pPr>
        <w:numPr>
          <w:ilvl w:val="0"/>
          <w:numId w:val="0"/>
        </w:numPr>
        <w:rPr>
          <w:rFonts w:hint="eastAsia" w:eastAsia="宋体"/>
          <w:lang w:val="en-US" w:eastAsia="zh-CN"/>
        </w:rPr>
      </w:pPr>
      <w:r>
        <w:rPr>
          <w:rFonts w:hint="eastAsia"/>
          <w:lang w:val="en-US" w:eastAsia="zh-CN"/>
        </w:rPr>
        <w:t>无</w:t>
      </w: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三、本年度部门决算等财务工作开展情况</w:t>
      </w:r>
    </w:p>
    <w:p>
      <w:pPr>
        <w:widowControl/>
        <w:spacing w:before="240" w:after="240"/>
        <w:jc w:val="left"/>
        <w:rPr>
          <w:rFonts w:ascii="宋体" w:hAnsi="宋体" w:eastAsia="宋体" w:cs="宋体"/>
          <w:kern w:val="0"/>
          <w:sz w:val="24"/>
        </w:rPr>
      </w:pPr>
      <w:r>
        <w:rPr>
          <w:rFonts w:ascii="Times New Roman" w:hAnsi="Times New Roman" w:eastAsia="Times New Roman" w:cs="Times New Roman"/>
          <w:kern w:val="0"/>
          <w:sz w:val="24"/>
        </w:rPr>
        <w:t>       </w:t>
      </w:r>
      <w:r>
        <w:rPr>
          <w:rFonts w:ascii="宋体" w:hAnsi="宋体" w:eastAsia="宋体" w:cs="宋体"/>
          <w:kern w:val="0"/>
          <w:sz w:val="24"/>
        </w:rPr>
        <w:t>（一）本单位财务管理、绩效管理、决算组织、编报、审核情况。</w:t>
      </w:r>
    </w:p>
    <w:p>
      <w:pPr>
        <w:widowControl/>
        <w:spacing w:before="240" w:after="24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完成较好</w:t>
      </w:r>
    </w:p>
    <w:p>
      <w:pPr>
        <w:widowControl/>
        <w:numPr>
          <w:ilvl w:val="0"/>
          <w:numId w:val="5"/>
        </w:numPr>
        <w:spacing w:before="240" w:after="240"/>
        <w:ind w:left="600" w:leftChars="0" w:firstLine="0" w:firstLineChars="0"/>
        <w:jc w:val="left"/>
        <w:rPr>
          <w:rFonts w:ascii="宋体" w:hAnsi="宋体" w:eastAsia="宋体" w:cs="宋体"/>
          <w:kern w:val="0"/>
          <w:sz w:val="24"/>
        </w:rPr>
      </w:pPr>
      <w:r>
        <w:rPr>
          <w:rFonts w:ascii="宋体" w:hAnsi="宋体" w:eastAsia="宋体" w:cs="宋体"/>
          <w:kern w:val="0"/>
          <w:sz w:val="24"/>
        </w:rPr>
        <w:t>本单位决算及绩效信息公开工作开展情况。</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公开</w:t>
      </w:r>
    </w:p>
    <w:p>
      <w:pPr>
        <w:widowControl/>
        <w:numPr>
          <w:ilvl w:val="0"/>
          <w:numId w:val="5"/>
        </w:numPr>
        <w:spacing w:before="240" w:after="240"/>
        <w:ind w:left="600" w:leftChars="0" w:firstLine="0" w:firstLineChars="0"/>
        <w:jc w:val="left"/>
        <w:rPr>
          <w:rFonts w:ascii="宋体" w:hAnsi="宋体" w:eastAsia="宋体" w:cs="宋体"/>
          <w:kern w:val="0"/>
          <w:sz w:val="24"/>
        </w:rPr>
      </w:pPr>
      <w:r>
        <w:rPr>
          <w:rFonts w:ascii="宋体" w:hAnsi="宋体" w:eastAsia="宋体" w:cs="宋体"/>
          <w:kern w:val="0"/>
          <w:sz w:val="24"/>
        </w:rPr>
        <w:t>对部门决算管理工作的意见和建议。</w:t>
      </w:r>
    </w:p>
    <w:p>
      <w:pPr>
        <w:widowControl/>
        <w:numPr>
          <w:ilvl w:val="0"/>
          <w:numId w:val="0"/>
        </w:numP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6"/>
        </w:numPr>
        <w:pBdr>
          <w:left w:val="none" w:color="auto" w:sz="0" w:space="30"/>
        </w:pBdr>
        <w:spacing w:before="240" w:after="240"/>
        <w:ind w:left="600"/>
        <w:jc w:val="left"/>
        <w:rPr>
          <w:rFonts w:ascii="宋体" w:hAnsi="宋体" w:eastAsia="宋体" w:cs="宋体"/>
          <w:kern w:val="0"/>
          <w:sz w:val="24"/>
        </w:rPr>
      </w:pPr>
      <w:r>
        <w:rPr>
          <w:rFonts w:ascii="宋体" w:hAnsi="宋体" w:eastAsia="宋体" w:cs="宋体"/>
          <w:kern w:val="0"/>
          <w:sz w:val="24"/>
        </w:rPr>
        <w:t>自行增加的审核公式和模板，请说明设置依据。</w:t>
      </w:r>
    </w:p>
    <w:p>
      <w:pPr>
        <w:widowControl/>
        <w:numPr>
          <w:ilvl w:val="0"/>
          <w:numId w:val="0"/>
        </w:numPr>
        <w:pBdr>
          <w:left w:val="none" w:color="auto" w:sz="0" w:space="30"/>
        </w:pBd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6"/>
        </w:numPr>
        <w:pBdr>
          <w:left w:val="none" w:color="auto" w:sz="0" w:space="30"/>
        </w:pBdr>
        <w:spacing w:before="240" w:after="240"/>
        <w:ind w:left="600" w:leftChars="0" w:firstLine="0" w:firstLineChars="0"/>
        <w:jc w:val="left"/>
        <w:rPr>
          <w:rFonts w:ascii="宋体" w:hAnsi="宋体" w:eastAsia="宋体" w:cs="宋体"/>
          <w:kern w:val="0"/>
          <w:sz w:val="24"/>
        </w:rPr>
      </w:pPr>
      <w:r>
        <w:rPr>
          <w:rFonts w:ascii="宋体" w:hAnsi="宋体" w:eastAsia="宋体" w:cs="宋体"/>
          <w:kern w:val="0"/>
          <w:sz w:val="24"/>
        </w:rPr>
        <w:t>对部门决算报表修订设计的意见和建议，包括表样、指标设置、软件、审核公式、模板和编审问答等，请列出并说明修改意见。</w:t>
      </w:r>
    </w:p>
    <w:p>
      <w:pPr>
        <w:widowControl/>
        <w:numPr>
          <w:ilvl w:val="0"/>
          <w:numId w:val="0"/>
        </w:numPr>
        <w:pBdr>
          <w:left w:val="none" w:color="auto" w:sz="0" w:space="30"/>
        </w:pBd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numPr>
          <w:ilvl w:val="0"/>
          <w:numId w:val="6"/>
        </w:numPr>
        <w:pBdr>
          <w:left w:val="none" w:color="auto" w:sz="0" w:space="30"/>
        </w:pBdr>
        <w:spacing w:before="240" w:after="240"/>
        <w:ind w:left="600" w:leftChars="0" w:firstLine="0" w:firstLineChars="0"/>
        <w:jc w:val="left"/>
        <w:rPr>
          <w:rFonts w:ascii="宋体" w:hAnsi="宋体" w:eastAsia="宋体" w:cs="宋体"/>
          <w:kern w:val="0"/>
          <w:sz w:val="24"/>
        </w:rPr>
      </w:pPr>
      <w:r>
        <w:rPr>
          <w:rFonts w:ascii="宋体" w:hAnsi="宋体" w:eastAsia="宋体" w:cs="宋体"/>
          <w:kern w:val="0"/>
          <w:sz w:val="24"/>
        </w:rPr>
        <w:t>对部门决算其他管理工作的建议。例如对加强部门决算数据分析利用工作、部门决算信息化建设等建议。</w:t>
      </w:r>
    </w:p>
    <w:p>
      <w:pPr>
        <w:widowControl/>
        <w:numPr>
          <w:ilvl w:val="0"/>
          <w:numId w:val="0"/>
        </w:numPr>
        <w:pBdr>
          <w:left w:val="none" w:color="auto" w:sz="0" w:space="30"/>
        </w:pBdr>
        <w:spacing w:before="240" w:after="24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tabs>
          <w:tab w:val="left" w:pos="8415"/>
        </w:tabs>
      </w:pPr>
      <w:bookmarkStart w:id="1" w:name="_GoBack"/>
      <w:bookmarkEnd w:id="1"/>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5</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32748"/>
    <w:multiLevelType w:val="singleLevel"/>
    <w:tmpl w:val="AD032748"/>
    <w:lvl w:ilvl="0" w:tentative="0">
      <w:start w:val="6"/>
      <w:numFmt w:val="chineseCounting"/>
      <w:suff w:val="nothing"/>
      <w:lvlText w:val="（%1）"/>
      <w:lvlJc w:val="left"/>
      <w:rPr>
        <w:rFonts w:hint="eastAsia"/>
      </w:rPr>
    </w:lvl>
  </w:abstractNum>
  <w:abstractNum w:abstractNumId="1">
    <w:nsid w:val="C5AFD9B2"/>
    <w:multiLevelType w:val="singleLevel"/>
    <w:tmpl w:val="C5AFD9B2"/>
    <w:lvl w:ilvl="0" w:tentative="0">
      <w:start w:val="2"/>
      <w:numFmt w:val="decimal"/>
      <w:suff w:val="nothing"/>
      <w:lvlText w:val="（%1）"/>
      <w:lvlJc w:val="left"/>
      <w:pPr>
        <w:ind w:left="900" w:leftChars="0" w:firstLine="0" w:firstLineChars="0"/>
      </w:pPr>
    </w:lvl>
  </w:abstractNum>
  <w:abstractNum w:abstractNumId="2">
    <w:nsid w:val="D9336409"/>
    <w:multiLevelType w:val="singleLevel"/>
    <w:tmpl w:val="D9336409"/>
    <w:lvl w:ilvl="0" w:tentative="0">
      <w:start w:val="2"/>
      <w:numFmt w:val="chineseCounting"/>
      <w:suff w:val="nothing"/>
      <w:lvlText w:val="（%1）"/>
      <w:lvlJc w:val="left"/>
      <w:pPr>
        <w:ind w:left="600" w:leftChars="0" w:firstLine="0" w:firstLineChars="0"/>
      </w:pPr>
      <w:rPr>
        <w:rFonts w:hint="eastAsia"/>
      </w:rPr>
    </w:lvl>
  </w:abstractNum>
  <w:abstractNum w:abstractNumId="3">
    <w:nsid w:val="1E4E6028"/>
    <w:multiLevelType w:val="singleLevel"/>
    <w:tmpl w:val="1E4E6028"/>
    <w:lvl w:ilvl="0" w:tentative="0">
      <w:start w:val="2"/>
      <w:numFmt w:val="decimal"/>
      <w:suff w:val="nothing"/>
      <w:lvlText w:val="%1．"/>
      <w:lvlJc w:val="left"/>
      <w:pPr>
        <w:ind w:left="780" w:leftChars="0" w:firstLine="0" w:firstLineChars="0"/>
      </w:pPr>
    </w:lvl>
  </w:abstractNum>
  <w:abstractNum w:abstractNumId="4">
    <w:nsid w:val="2C33001C"/>
    <w:multiLevelType w:val="singleLevel"/>
    <w:tmpl w:val="2C33001C"/>
    <w:lvl w:ilvl="0" w:tentative="0">
      <w:start w:val="2"/>
      <w:numFmt w:val="decimal"/>
      <w:suff w:val="nothing"/>
      <w:lvlText w:val="（%1）"/>
      <w:lvlJc w:val="left"/>
      <w:pPr>
        <w:ind w:left="780" w:leftChars="0" w:firstLine="0" w:firstLineChars="0"/>
      </w:pPr>
    </w:lvl>
  </w:abstractNum>
  <w:abstractNum w:abstractNumId="5">
    <w:nsid w:val="7CEC7EA0"/>
    <w:multiLevelType w:val="singleLevel"/>
    <w:tmpl w:val="7CEC7EA0"/>
    <w:lvl w:ilvl="0" w:tentative="0">
      <w:start w:val="1"/>
      <w:numFmt w:val="decimal"/>
      <w:lvlText w:val="%1."/>
      <w:lvlJc w:val="left"/>
      <w:pPr>
        <w:tabs>
          <w:tab w:val="left" w:pos="312"/>
        </w:tabs>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NzY3ZDZlMjFlNTNhMzE4M2NhYzVjZWUwNmNjYjQ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7BE007D"/>
    <w:rsid w:val="08CD1B84"/>
    <w:rsid w:val="16C62AAA"/>
    <w:rsid w:val="2126455F"/>
    <w:rsid w:val="21CF6E62"/>
    <w:rsid w:val="25F6749F"/>
    <w:rsid w:val="30D047F9"/>
    <w:rsid w:val="31E60B97"/>
    <w:rsid w:val="32C750C2"/>
    <w:rsid w:val="361B02C4"/>
    <w:rsid w:val="41C34CE2"/>
    <w:rsid w:val="421D7172"/>
    <w:rsid w:val="5C1178F0"/>
    <w:rsid w:val="61E11B13"/>
    <w:rsid w:val="70F84783"/>
    <w:rsid w:val="72600832"/>
    <w:rsid w:val="7F2E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2687</Words>
  <Characters>3005</Characters>
  <Lines>1</Lines>
  <Paragraphs>1</Paragraphs>
  <TotalTime>37</TotalTime>
  <ScaleCrop>false</ScaleCrop>
  <LinksUpToDate>false</LinksUpToDate>
  <CharactersWithSpaces>3245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2021-04-16T00:45:00Z</cp:lastPrinted>
  <dcterms:modified xsi:type="dcterms:W3CDTF">2023-09-08T01:47:35Z</dcterms:modified>
  <dc:title>××年度××部门/单位</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EE877B591B1F431C8EF4B46D8C2033E8</vt:lpwstr>
  </property>
</Properties>
</file>