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  <w:r>
        <w:rPr>
          <w:rFonts w:ascii="Times New Roman" w:hAnsi="Times New Roman" w:eastAsia="黑体"/>
          <w:sz w:val="72"/>
          <w:highlight w:val="none"/>
        </w:rPr>
        <w:t>取 水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许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可</w:t>
      </w:r>
      <w:r>
        <w:rPr>
          <w:rFonts w:ascii="Times New Roman" w:hAnsi="Times New Roman" w:eastAsia="黑体"/>
          <w:sz w:val="72"/>
          <w:highlight w:val="none"/>
        </w:rPr>
        <w:t xml:space="preserve"> 申 请 书</w:t>
      </w:r>
    </w:p>
    <w:p>
      <w:pPr>
        <w:jc w:val="center"/>
        <w:rPr>
          <w:rFonts w:ascii="Times New Roman" w:hAnsi="Times New Roman" w:eastAsia="黑体"/>
          <w:sz w:val="32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hint="default" w:ascii="仿宋" w:hAnsi="仿宋" w:eastAsia="仿宋" w:cs="仿宋"/>
          <w:sz w:val="32"/>
          <w:highlight w:val="none"/>
          <w:u w:val="single"/>
          <w:lang w:val="en-US"/>
        </w:rPr>
      </w:pPr>
      <w:r>
        <w:rPr>
          <w:rFonts w:ascii="Times New Roman" w:hAnsi="Times New Roman" w:eastAsia="黑体"/>
          <w:sz w:val="32"/>
          <w:highlight w:val="none"/>
        </w:rPr>
        <w:t>申请人（盖章）</w:t>
      </w:r>
      <w:r>
        <w:rPr>
          <w:rFonts w:hint="eastAsia" w:eastAsia="仿宋"/>
          <w:b w:val="0"/>
          <w:bCs w:val="0"/>
          <w:sz w:val="28"/>
          <w:szCs w:val="28"/>
          <w:u w:val="single"/>
          <w:lang w:val="en-US" w:eastAsia="zh-CN"/>
        </w:rPr>
        <w:t xml:space="preserve"> 固日班花苏木查干楚鲁嘎查村委会  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申请日期</w:t>
      </w: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 xml:space="preserve"> 2023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>年 9  月 9  日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jc w:val="center"/>
        <w:outlineLvl w:val="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中华人民共和国水利部监制</w:t>
      </w:r>
    </w:p>
    <w:p>
      <w:pPr>
        <w:rPr>
          <w:rFonts w:ascii="Times New Roman" w:hAnsi="Times New Roman"/>
          <w:highlight w:val="none"/>
        </w:rPr>
      </w:pPr>
    </w:p>
    <w:p>
      <w:pPr>
        <w:spacing w:line="0" w:lineRule="atLeast"/>
        <w:jc w:val="center"/>
        <w:rPr>
          <w:rFonts w:ascii="Times New Roman" w:hAnsi="Times New Roman"/>
          <w:highlight w:val="none"/>
        </w:rPr>
        <w:sectPr>
          <w:footerReference r:id="rId3" w:type="default"/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2"/>
          <w:rFonts w:ascii="Times New Roman" w:hAnsi="Times New Roman" w:eastAsia="黑体" w:cs="Times New Roman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：申请取水的单位或个人名称，包括法人、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其他组织（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非法人组织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。单位名称应与注册登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记信息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一致，个人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名称应与身份证信息一致。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：申请人为法人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组织时，填写其统一社会信用代码；申请人为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时，填写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法定代表人：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申请人为法人或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组织时，填写法定代表人；申请人为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不填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生产经营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所地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生产经营的地点，填至具体街道、小区门牌号。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行业类别：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按照国民经济行业分类标准GB/T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4754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2017的中类填写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用水管理部门：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取水单位的用水管理部门名称，取水个人不填。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取用水管理部门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对外沟通、联系的固定人员的姓名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申请人为个人时，填写其本人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手机号码：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联系人的常用手机号码。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嘎查村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概况：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简要说明嘎查村的耕地、人口、牲畜、农业取水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口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数量、生活取水口数量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水源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类型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分为地表水、地下水和其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他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。取用地下水的，如为矿泉水或地热水，需进一步勾选相关类型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勾选“其他”的，应写明具体水源类型。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填写取水工程（设施）取水口所在行政区（写至村/社区）。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取水口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位置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在附表里填写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申请的单个水源的取水量，单位为万m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superscript"/>
        </w:rPr>
        <w:t>3</w:t>
      </w:r>
      <w:r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/>
        </w:rPr>
        <w:t>/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取水工程（设施）类型：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分为闸、坝、渠道、人工河道、虹吸管、水泵、水井、水电站以及其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他，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根据实际情况可多选。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>水源n: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如有多个水源，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根据取水量的大小，从大到小，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按照水源1的表格内容填写各个水源的信息。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eastAsia="zh-CN"/>
        </w:rPr>
        <w:t>事由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说明申请取水缘由，取水事项的基本情况、取水用途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具备申请取水许可的依据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是否符合国家和地方相关产业政策等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取水用途：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农村生活及农业灌溉用水。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计量方式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地下水：农业灌溉高效节水项目里安装电磁流量计的加以标注，其他均为以电折水计量方式。生活用水均为机械水表计量方式。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40" w:lineRule="exact"/>
        <w:ind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地表水：多为无计量，如有计量方式请按实际情况填写。</w:t>
      </w:r>
    </w:p>
    <w:tbl>
      <w:tblPr>
        <w:tblStyle w:val="9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9"/>
        <w:gridCol w:w="1280"/>
        <w:gridCol w:w="900"/>
        <w:gridCol w:w="15"/>
        <w:gridCol w:w="159"/>
        <w:gridCol w:w="1470"/>
        <w:gridCol w:w="51"/>
        <w:gridCol w:w="60"/>
        <w:gridCol w:w="214"/>
        <w:gridCol w:w="61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2354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54150525ME22761590</w:t>
            </w:r>
          </w:p>
        </w:tc>
        <w:tc>
          <w:tcPr>
            <w:tcW w:w="1795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法定代表人</w:t>
            </w:r>
          </w:p>
        </w:tc>
        <w:tc>
          <w:tcPr>
            <w:tcW w:w="25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席斯琴巴特尔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生产经营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场所</w:t>
            </w:r>
            <w:r>
              <w:rPr>
                <w:rFonts w:hint="eastAsia" w:ascii="Times New Roman" w:hAnsi="Times New Roman"/>
                <w:highlight w:val="none"/>
              </w:rPr>
              <w:t>地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址</w:t>
            </w:r>
          </w:p>
        </w:tc>
        <w:tc>
          <w:tcPr>
            <w:tcW w:w="6690" w:type="dxa"/>
            <w:gridSpan w:val="10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 内蒙古自治区通辽市奈曼旗固日班花苏木</w:t>
            </w:r>
            <w:r>
              <w:rPr>
                <w:rFonts w:hint="eastAsia"/>
                <w:lang w:val="en-US" w:eastAsia="zh-CN"/>
              </w:rPr>
              <w:t>查干楚鲁</w:t>
            </w:r>
            <w:r>
              <w:rPr>
                <w:rFonts w:hint="eastAsia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行业类别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生活及农业灌溉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用水管理部门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奈曼旗水务局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highlight w:val="none"/>
              </w:rPr>
              <w:t>联系人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席斯琴巴特尔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联系人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13947518341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嘎查村基本情况概况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after="0"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我嘎查处于固日班花苏木乡镇的东南部14公里处，东邻库伦旗，西与巴雅吉乐相接，南靠陶勒盖图嘎查，北和哈日阿图嘎查相连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，辖两个村民小组，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户籍居民228户数、710人口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，其中贫困户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户、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口人。总土地面积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7.4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万亩，其中耕地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亩，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林地面积10000亩，草牧场面积45500亩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。主要以种植业、养殖业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为主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，种植业以玉米为主，玉米种植面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13000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亩；养殖业以牛、羊为主，其中牛存栏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3350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头、羊存栏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2350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只。</w:t>
            </w:r>
          </w:p>
          <w:p>
            <w:pPr>
              <w:pStyle w:val="4"/>
              <w:autoSpaceDE/>
              <w:autoSpaceDN/>
              <w:spacing w:after="0" w:line="360" w:lineRule="auto"/>
              <w:ind w:left="0" w:leftChars="0" w:firstLine="48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农业取水口数量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口，生活取水口数量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年农业灌溉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取水量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141.16 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概况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328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灌溉面积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10460.61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亩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灌溉定额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135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立方米/亩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水井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bCs/>
                <w:sz w:val="18"/>
                <w:szCs w:val="18"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 w:val="0"/>
                <w:highlight w:val="none"/>
                <w:lang w:val="en-US" w:eastAsia="zh-CN"/>
              </w:rPr>
              <w:t>年生活取水量</w:t>
            </w:r>
          </w:p>
        </w:tc>
        <w:tc>
          <w:tcPr>
            <w:tcW w:w="66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1.42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概况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5 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取水人口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710 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人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定额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70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升/（人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•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天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由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t>《中国人民共和国水法》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/>
              </w:rPr>
              <w:t>《取水许可和水资源征收管理条例》</w:t>
            </w:r>
            <w:r>
              <w:rPr>
                <w:rFonts w:hint="eastAsia"/>
                <w:lang w:val="en-US" w:eastAsia="zh-CN"/>
              </w:rPr>
              <w:t>、《地下水管理条例》等法律法规</w:t>
            </w:r>
            <w:r>
              <w:rPr>
                <w:lang w:val="en-US"/>
              </w:rPr>
              <w:t>的规定</w:t>
            </w:r>
            <w:r>
              <w:rPr>
                <w:rFonts w:hint="eastAsia"/>
                <w:lang w:val="en-US" w:eastAsia="zh-CN"/>
              </w:rPr>
              <w:t>，申请办理取水许可证。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申请依据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《奈曼旗农牧业生产生活用水区域评估水资源论证报告书》及审查意见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时间</w:t>
            </w:r>
          </w:p>
        </w:tc>
        <w:tc>
          <w:tcPr>
            <w:tcW w:w="382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2022</w:t>
            </w:r>
            <w:r>
              <w:rPr>
                <w:rFonts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highlight w:val="none"/>
              </w:rPr>
              <w:t>月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highlight w:val="none"/>
              </w:rPr>
              <w:t>日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ind w:left="169" w:firstLine="420" w:firstLineChars="200"/>
              <w:jc w:val="both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畜牧业用水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计量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管道计量</w:t>
            </w:r>
          </w:p>
        </w:tc>
        <w:tc>
          <w:tcPr>
            <w:tcW w:w="541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机械水表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□电子</w:t>
            </w:r>
            <w:r>
              <w:rPr>
                <w:rFonts w:hint="eastAsia"/>
                <w:lang w:val="en-US" w:eastAsia="zh-CN"/>
              </w:rPr>
              <w:t>远传</w:t>
            </w:r>
            <w:r>
              <w:rPr>
                <w:rFonts w:hint="eastAsia"/>
              </w:rPr>
              <w:t>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□电磁流量计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超声波流量计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eastAsia="zh-CN"/>
              </w:rPr>
              <w:t>以电折水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在线     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承诺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我单位（本人）承诺：</w:t>
            </w:r>
          </w:p>
          <w:p>
            <w:pPr>
              <w:pStyle w:val="2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严格遵守国家法律法规</w:t>
            </w:r>
            <w:r>
              <w:rPr>
                <w:sz w:val="22"/>
                <w:szCs w:val="22"/>
                <w:highlight w:val="none"/>
              </w:rPr>
              <w:t>和水行政主管部门的</w:t>
            </w:r>
            <w:r>
              <w:rPr>
                <w:rFonts w:hint="eastAsia"/>
                <w:sz w:val="22"/>
                <w:szCs w:val="22"/>
                <w:highlight w:val="none"/>
              </w:rPr>
              <w:t>各项要求</w:t>
            </w:r>
            <w:r>
              <w:rPr>
                <w:sz w:val="22"/>
                <w:szCs w:val="22"/>
                <w:highlight w:val="none"/>
              </w:rPr>
              <w:t>，</w:t>
            </w:r>
            <w:r>
              <w:rPr>
                <w:rFonts w:hint="eastAsia"/>
                <w:sz w:val="22"/>
                <w:szCs w:val="22"/>
                <w:highlight w:val="none"/>
              </w:rPr>
              <w:t>确保</w:t>
            </w:r>
            <w:r>
              <w:rPr>
                <w:sz w:val="22"/>
                <w:szCs w:val="22"/>
                <w:highlight w:val="none"/>
              </w:rPr>
              <w:t>取水、用水、节水</w:t>
            </w:r>
            <w:r>
              <w:rPr>
                <w:rFonts w:hint="eastAsia"/>
                <w:sz w:val="22"/>
                <w:szCs w:val="22"/>
                <w:highlight w:val="none"/>
              </w:rPr>
              <w:t>符合</w:t>
            </w:r>
            <w:r>
              <w:rPr>
                <w:sz w:val="22"/>
                <w:szCs w:val="22"/>
                <w:highlight w:val="none"/>
              </w:rPr>
              <w:t>国家产业政策和水行政主管部门管理</w:t>
            </w:r>
            <w:r>
              <w:rPr>
                <w:rFonts w:hint="eastAsia"/>
                <w:sz w:val="22"/>
                <w:szCs w:val="22"/>
                <w:highlight w:val="none"/>
              </w:rPr>
              <w:t>要求</w:t>
            </w:r>
            <w:r>
              <w:rPr>
                <w:sz w:val="22"/>
                <w:szCs w:val="22"/>
                <w:highlight w:val="none"/>
              </w:rPr>
              <w:t>。</w:t>
            </w:r>
          </w:p>
          <w:p>
            <w:pPr>
              <w:rPr>
                <w:sz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</w:rPr>
              <w:t>承诺人（法人</w:t>
            </w:r>
            <w:r>
              <w:rPr>
                <w:sz w:val="22"/>
                <w:highlight w:val="none"/>
              </w:rPr>
              <w:t>代表</w:t>
            </w:r>
            <w:r>
              <w:rPr>
                <w:rFonts w:hint="eastAsia"/>
                <w:sz w:val="22"/>
                <w:highlight w:val="none"/>
              </w:rPr>
              <w:t>签章）</w:t>
            </w:r>
            <w:r>
              <w:rPr>
                <w:sz w:val="22"/>
                <w:highlight w:val="none"/>
              </w:rPr>
              <w:t>：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  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89494"/>
    <w:multiLevelType w:val="singleLevel"/>
    <w:tmpl w:val="B7E894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jdhYjk4NTNjNGMxNzNjOWJjMjgyNGJkNWVlZjAifQ=="/>
  </w:docVars>
  <w:rsids>
    <w:rsidRoot w:val="3FAC37CE"/>
    <w:rsid w:val="00B17326"/>
    <w:rsid w:val="00F05178"/>
    <w:rsid w:val="060A1284"/>
    <w:rsid w:val="065C0B2C"/>
    <w:rsid w:val="09F6760D"/>
    <w:rsid w:val="0A3F26E3"/>
    <w:rsid w:val="0B6D02FE"/>
    <w:rsid w:val="0B8069A6"/>
    <w:rsid w:val="0E195741"/>
    <w:rsid w:val="12D56662"/>
    <w:rsid w:val="154359F5"/>
    <w:rsid w:val="16227A29"/>
    <w:rsid w:val="1725172B"/>
    <w:rsid w:val="19012AAD"/>
    <w:rsid w:val="1AE17EB2"/>
    <w:rsid w:val="1D5346C7"/>
    <w:rsid w:val="26B66697"/>
    <w:rsid w:val="30C506DF"/>
    <w:rsid w:val="35A23132"/>
    <w:rsid w:val="36C57346"/>
    <w:rsid w:val="37FA7DE6"/>
    <w:rsid w:val="3CC96EA4"/>
    <w:rsid w:val="3DC845E4"/>
    <w:rsid w:val="3FAC37CE"/>
    <w:rsid w:val="40F462E2"/>
    <w:rsid w:val="41C5543F"/>
    <w:rsid w:val="42B552C4"/>
    <w:rsid w:val="45C02053"/>
    <w:rsid w:val="464E0242"/>
    <w:rsid w:val="47D169E9"/>
    <w:rsid w:val="49844A65"/>
    <w:rsid w:val="4B5A0163"/>
    <w:rsid w:val="55A70956"/>
    <w:rsid w:val="5779032C"/>
    <w:rsid w:val="59E635D1"/>
    <w:rsid w:val="5B8E2988"/>
    <w:rsid w:val="5D8D2FA6"/>
    <w:rsid w:val="5DA3288A"/>
    <w:rsid w:val="5DE132F2"/>
    <w:rsid w:val="5F7253F7"/>
    <w:rsid w:val="60D93BD8"/>
    <w:rsid w:val="63D63372"/>
    <w:rsid w:val="6B0309E3"/>
    <w:rsid w:val="70E260C0"/>
    <w:rsid w:val="76556751"/>
    <w:rsid w:val="79075EAB"/>
    <w:rsid w:val="795D4D28"/>
    <w:rsid w:val="7C310616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21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1669</Characters>
  <Lines>0</Lines>
  <Paragraphs>0</Paragraphs>
  <TotalTime>20</TotalTime>
  <ScaleCrop>false</ScaleCrop>
  <LinksUpToDate>false</LinksUpToDate>
  <CharactersWithSpaces>1854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2022-10-15T01:52:00Z</dcterms:created>
  <dc:creator>潘明环</dc:creator>
  <cp:lastModifiedBy>bao</cp:lastModifiedBy>
  <cp:lastPrinted>2023-09-10T02:02:34Z</cp:lastPrinted>
  <dcterms:modified xsi:type="dcterms:W3CDTF">2023-09-10T02:03:01Z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E141DC3E66D04B10B1817A9B38C6D4A4_13</vt:lpwstr>
  </property>
</Properties>
</file>