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48" w:rsidRPr="00A13DB4" w:rsidRDefault="00A13DB4" w:rsidP="00A13DB4">
      <w:pPr>
        <w:spacing w:line="300" w:lineRule="exact"/>
        <w:jc w:val="center"/>
        <w:rPr>
          <w:b/>
          <w:sz w:val="36"/>
        </w:rPr>
      </w:pPr>
      <w:bookmarkStart w:id="0" w:name="OLE_LINK11"/>
      <w:bookmarkStart w:id="1" w:name="_GoBack"/>
      <w:r w:rsidRPr="00A13DB4">
        <w:rPr>
          <w:rFonts w:hint="eastAsia"/>
          <w:b/>
          <w:color w:val="000000"/>
          <w:sz w:val="28"/>
          <w:szCs w:val="18"/>
          <w:shd w:val="clear" w:color="auto" w:fill="FFFFFF"/>
        </w:rPr>
        <w:t>奈</w:t>
      </w:r>
      <w:proofErr w:type="gramStart"/>
      <w:r w:rsidRPr="00A13DB4">
        <w:rPr>
          <w:rFonts w:hint="eastAsia"/>
          <w:b/>
          <w:color w:val="000000"/>
          <w:sz w:val="28"/>
          <w:szCs w:val="18"/>
          <w:shd w:val="clear" w:color="auto" w:fill="FFFFFF"/>
        </w:rPr>
        <w:t>曼</w:t>
      </w:r>
      <w:proofErr w:type="gramEnd"/>
      <w:r w:rsidRPr="00A13DB4">
        <w:rPr>
          <w:rFonts w:hint="eastAsia"/>
          <w:b/>
          <w:color w:val="000000"/>
          <w:sz w:val="28"/>
          <w:szCs w:val="18"/>
          <w:shd w:val="clear" w:color="auto" w:fill="FFFFFF"/>
        </w:rPr>
        <w:t>旗</w:t>
      </w:r>
      <w:r w:rsidRPr="00A13DB4">
        <w:rPr>
          <w:rFonts w:hint="eastAsia"/>
          <w:b/>
          <w:color w:val="000000"/>
          <w:sz w:val="28"/>
          <w:szCs w:val="18"/>
          <w:shd w:val="clear" w:color="auto" w:fill="FFFFFF"/>
        </w:rPr>
        <w:t>2023</w:t>
      </w:r>
      <w:r w:rsidRPr="00A13DB4">
        <w:rPr>
          <w:rFonts w:hint="eastAsia"/>
          <w:b/>
          <w:color w:val="000000"/>
          <w:sz w:val="28"/>
          <w:szCs w:val="18"/>
          <w:shd w:val="clear" w:color="auto" w:fill="FFFFFF"/>
        </w:rPr>
        <w:t>年重大建设项目名单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64"/>
        <w:gridCol w:w="1846"/>
        <w:gridCol w:w="690"/>
        <w:gridCol w:w="1268"/>
        <w:gridCol w:w="1019"/>
        <w:gridCol w:w="1134"/>
        <w:gridCol w:w="1134"/>
        <w:gridCol w:w="1785"/>
        <w:gridCol w:w="341"/>
        <w:gridCol w:w="1700"/>
        <w:gridCol w:w="851"/>
        <w:gridCol w:w="912"/>
      </w:tblGrid>
      <w:tr w:rsidR="007B0306" w:rsidTr="00EE2666">
        <w:trPr>
          <w:jc w:val="center"/>
        </w:trPr>
        <w:tc>
          <w:tcPr>
            <w:tcW w:w="1268" w:type="dxa"/>
            <w:gridSpan w:val="2"/>
            <w:vAlign w:val="center"/>
          </w:tcPr>
          <w:bookmarkEnd w:id="1"/>
          <w:p w:rsidR="007B0306" w:rsidRPr="00B53EDC" w:rsidRDefault="007B0306" w:rsidP="00B53EDC">
            <w:pPr>
              <w:spacing w:line="300" w:lineRule="exact"/>
              <w:jc w:val="center"/>
              <w:rPr>
                <w:b/>
              </w:rPr>
            </w:pPr>
            <w:r w:rsidRPr="00B53EDC">
              <w:rPr>
                <w:rFonts w:hint="eastAsia"/>
                <w:b/>
              </w:rPr>
              <w:t>序号</w:t>
            </w:r>
          </w:p>
        </w:tc>
        <w:tc>
          <w:tcPr>
            <w:tcW w:w="1846" w:type="dxa"/>
            <w:vAlign w:val="center"/>
          </w:tcPr>
          <w:p w:rsidR="007B0306" w:rsidRPr="00B53EDC" w:rsidRDefault="007B0306" w:rsidP="00B53EDC">
            <w:pPr>
              <w:spacing w:line="300" w:lineRule="exact"/>
              <w:jc w:val="center"/>
              <w:rPr>
                <w:b/>
              </w:rPr>
            </w:pPr>
            <w:r w:rsidRPr="00B53EDC">
              <w:rPr>
                <w:rFonts w:hint="eastAsia"/>
                <w:b/>
              </w:rPr>
              <w:t>项目名称</w:t>
            </w:r>
          </w:p>
        </w:tc>
        <w:tc>
          <w:tcPr>
            <w:tcW w:w="690" w:type="dxa"/>
            <w:vAlign w:val="center"/>
          </w:tcPr>
          <w:p w:rsidR="007B0306" w:rsidRPr="00B53EDC" w:rsidRDefault="007B03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B53EDC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项目个数</w:t>
            </w:r>
          </w:p>
        </w:tc>
        <w:tc>
          <w:tcPr>
            <w:tcW w:w="1268" w:type="dxa"/>
            <w:vAlign w:val="center"/>
          </w:tcPr>
          <w:p w:rsidR="007B0306" w:rsidRPr="00B53EDC" w:rsidRDefault="007B03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B53EDC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所属行业(一级)</w:t>
            </w:r>
          </w:p>
        </w:tc>
        <w:tc>
          <w:tcPr>
            <w:tcW w:w="1019" w:type="dxa"/>
            <w:vAlign w:val="center"/>
          </w:tcPr>
          <w:p w:rsidR="007B0306" w:rsidRPr="00B53EDC" w:rsidRDefault="007B03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B53EDC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所属行业（二级）</w:t>
            </w:r>
          </w:p>
        </w:tc>
        <w:tc>
          <w:tcPr>
            <w:tcW w:w="1134" w:type="dxa"/>
            <w:vAlign w:val="center"/>
          </w:tcPr>
          <w:p w:rsidR="007B0306" w:rsidRPr="00B53EDC" w:rsidRDefault="007B03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B53EDC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建设性质</w:t>
            </w:r>
          </w:p>
        </w:tc>
        <w:tc>
          <w:tcPr>
            <w:tcW w:w="1134" w:type="dxa"/>
            <w:vAlign w:val="center"/>
          </w:tcPr>
          <w:p w:rsidR="007B0306" w:rsidRPr="00B53EDC" w:rsidRDefault="007B03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B53EDC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资金来源（填“政府投资”或“民间投资”）</w:t>
            </w:r>
          </w:p>
        </w:tc>
        <w:tc>
          <w:tcPr>
            <w:tcW w:w="1785" w:type="dxa"/>
            <w:vAlign w:val="center"/>
          </w:tcPr>
          <w:p w:rsidR="007B0306" w:rsidRPr="00B53EDC" w:rsidRDefault="007B03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B53EDC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建设内容及规模</w:t>
            </w:r>
          </w:p>
        </w:tc>
        <w:tc>
          <w:tcPr>
            <w:tcW w:w="2041" w:type="dxa"/>
            <w:gridSpan w:val="2"/>
            <w:vAlign w:val="center"/>
          </w:tcPr>
          <w:p w:rsidR="007B0306" w:rsidRPr="00B53EDC" w:rsidRDefault="007B03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B53EDC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2023年度建设内容及规模</w:t>
            </w:r>
          </w:p>
        </w:tc>
        <w:tc>
          <w:tcPr>
            <w:tcW w:w="851" w:type="dxa"/>
            <w:vAlign w:val="center"/>
          </w:tcPr>
          <w:p w:rsidR="007B0306" w:rsidRPr="00B53EDC" w:rsidRDefault="007B03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B53EDC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总投资</w:t>
            </w:r>
          </w:p>
        </w:tc>
        <w:tc>
          <w:tcPr>
            <w:tcW w:w="912" w:type="dxa"/>
            <w:vAlign w:val="center"/>
          </w:tcPr>
          <w:p w:rsidR="007B0306" w:rsidRPr="00B53EDC" w:rsidRDefault="007B03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B53EDC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2023年度</w:t>
            </w:r>
            <w:r w:rsidRPr="00B53EDC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br/>
              <w:t>计划投资</w:t>
            </w:r>
          </w:p>
        </w:tc>
      </w:tr>
      <w:tr w:rsidR="007B0306" w:rsidRPr="00B53EDC" w:rsidTr="00EE2666">
        <w:trPr>
          <w:trHeight w:val="627"/>
          <w:jc w:val="center"/>
        </w:trPr>
        <w:tc>
          <w:tcPr>
            <w:tcW w:w="3114" w:type="dxa"/>
            <w:gridSpan w:val="3"/>
            <w:vAlign w:val="center"/>
          </w:tcPr>
          <w:p w:rsidR="007B0306" w:rsidRPr="00B53EDC" w:rsidRDefault="007B0306" w:rsidP="00B53EDC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690" w:type="dxa"/>
            <w:vAlign w:val="center"/>
          </w:tcPr>
          <w:p w:rsidR="007B0306" w:rsidRPr="00B53EDC" w:rsidRDefault="007B0306" w:rsidP="00B53EDC">
            <w:pPr>
              <w:spacing w:line="300" w:lineRule="exact"/>
              <w:jc w:val="center"/>
              <w:rPr>
                <w:b/>
              </w:rPr>
            </w:pPr>
            <w:r w:rsidRPr="00B53EDC">
              <w:rPr>
                <w:rFonts w:hint="eastAsia"/>
                <w:b/>
              </w:rPr>
              <w:t>69</w:t>
            </w:r>
          </w:p>
        </w:tc>
        <w:tc>
          <w:tcPr>
            <w:tcW w:w="8381" w:type="dxa"/>
            <w:gridSpan w:val="7"/>
            <w:vAlign w:val="center"/>
          </w:tcPr>
          <w:p w:rsidR="007B0306" w:rsidRPr="00B53EDC" w:rsidRDefault="007B0306" w:rsidP="00B53EDC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B0306" w:rsidRPr="00B53EDC" w:rsidRDefault="007B03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B53EDC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323.34</w:t>
            </w:r>
          </w:p>
        </w:tc>
        <w:tc>
          <w:tcPr>
            <w:tcW w:w="912" w:type="dxa"/>
            <w:vAlign w:val="center"/>
          </w:tcPr>
          <w:p w:rsidR="007B0306" w:rsidRPr="00B53EDC" w:rsidRDefault="007B03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B53EDC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62.00</w:t>
            </w:r>
          </w:p>
        </w:tc>
      </w:tr>
      <w:tr w:rsidR="00B53EDC" w:rsidTr="00EE2666">
        <w:trPr>
          <w:trHeight w:val="410"/>
          <w:jc w:val="center"/>
        </w:trPr>
        <w:tc>
          <w:tcPr>
            <w:tcW w:w="12185" w:type="dxa"/>
            <w:gridSpan w:val="11"/>
          </w:tcPr>
          <w:p w:rsidR="00B53EDC" w:rsidRDefault="00B53EDC" w:rsidP="00B53EDC">
            <w:pPr>
              <w:spacing w:line="300" w:lineRule="exact"/>
            </w:pPr>
            <w:r>
              <w:rPr>
                <w:rFonts w:hint="eastAsia"/>
                <w:b/>
              </w:rPr>
              <w:t>一</w:t>
            </w:r>
            <w:r>
              <w:rPr>
                <w:b/>
              </w:rPr>
              <w:t>、</w:t>
            </w:r>
            <w:r w:rsidRPr="007B0306">
              <w:rPr>
                <w:rFonts w:hint="eastAsia"/>
                <w:b/>
              </w:rPr>
              <w:t>工</w:t>
            </w:r>
            <w:r w:rsidRPr="007B0306">
              <w:rPr>
                <w:b/>
              </w:rPr>
              <w:t>业：</w:t>
            </w:r>
            <w:r w:rsidRPr="007B0306">
              <w:rPr>
                <w:rFonts w:hint="eastAsia"/>
                <w:b/>
              </w:rPr>
              <w:t>22</w:t>
            </w:r>
            <w:r w:rsidRPr="007B0306">
              <w:rPr>
                <w:rFonts w:hint="eastAsia"/>
                <w:b/>
              </w:rPr>
              <w:t>个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288.51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41.02</w:t>
            </w:r>
          </w:p>
        </w:tc>
      </w:tr>
      <w:tr w:rsidR="00470E48" w:rsidTr="00EE2666">
        <w:trPr>
          <w:jc w:val="center"/>
        </w:trPr>
        <w:tc>
          <w:tcPr>
            <w:tcW w:w="704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旗工业园区增量配电网绿色供电项目</w:t>
            </w:r>
          </w:p>
        </w:tc>
        <w:tc>
          <w:tcPr>
            <w:tcW w:w="690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</w:t>
            </w:r>
          </w:p>
        </w:tc>
        <w:tc>
          <w:tcPr>
            <w:tcW w:w="1019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能源</w:t>
            </w:r>
          </w:p>
        </w:tc>
        <w:tc>
          <w:tcPr>
            <w:tcW w:w="1134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建设风电22万千瓦、光伏8.5万千瓦，配套储能5.7万千瓦（4h），配套两座220kV输变电及道路工程。</w:t>
            </w:r>
          </w:p>
        </w:tc>
        <w:tc>
          <w:tcPr>
            <w:tcW w:w="1700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建设风电6万千瓦、光伏2万千瓦。</w:t>
            </w:r>
          </w:p>
        </w:tc>
        <w:tc>
          <w:tcPr>
            <w:tcW w:w="851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18.03</w:t>
            </w:r>
          </w:p>
        </w:tc>
        <w:tc>
          <w:tcPr>
            <w:tcW w:w="912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5.5</w:t>
            </w:r>
          </w:p>
        </w:tc>
      </w:tr>
      <w:tr w:rsidR="00470E48" w:rsidTr="00EE2666">
        <w:trPr>
          <w:jc w:val="center"/>
        </w:trPr>
        <w:tc>
          <w:tcPr>
            <w:tcW w:w="704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内蒙古(奈曼）经安有色金属材料有限公司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源网荷储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一体化项目</w:t>
            </w:r>
          </w:p>
        </w:tc>
        <w:tc>
          <w:tcPr>
            <w:tcW w:w="690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</w:t>
            </w:r>
          </w:p>
        </w:tc>
        <w:tc>
          <w:tcPr>
            <w:tcW w:w="1019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能源</w:t>
            </w:r>
          </w:p>
        </w:tc>
        <w:tc>
          <w:tcPr>
            <w:tcW w:w="1134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总装机容量40万千瓦，其中光伏15万千瓦，风电25万千瓦，储能6万千瓦/24万千瓦时。</w:t>
            </w:r>
          </w:p>
        </w:tc>
        <w:tc>
          <w:tcPr>
            <w:tcW w:w="1700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预计建设光伏50兆瓦</w:t>
            </w:r>
          </w:p>
        </w:tc>
        <w:tc>
          <w:tcPr>
            <w:tcW w:w="851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22.35</w:t>
            </w:r>
          </w:p>
        </w:tc>
        <w:tc>
          <w:tcPr>
            <w:tcW w:w="912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3.5</w:t>
            </w:r>
          </w:p>
        </w:tc>
      </w:tr>
      <w:tr w:rsidR="00470E48" w:rsidTr="00EE2666">
        <w:trPr>
          <w:jc w:val="center"/>
        </w:trPr>
        <w:tc>
          <w:tcPr>
            <w:tcW w:w="704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内蒙古（奈曼）经安有色金属材料有限公司18MW分散式风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电项目</w:t>
            </w:r>
            <w:proofErr w:type="gramEnd"/>
          </w:p>
        </w:tc>
        <w:tc>
          <w:tcPr>
            <w:tcW w:w="690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</w:t>
            </w:r>
          </w:p>
        </w:tc>
        <w:tc>
          <w:tcPr>
            <w:tcW w:w="1019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能源</w:t>
            </w:r>
          </w:p>
        </w:tc>
        <w:tc>
          <w:tcPr>
            <w:tcW w:w="1134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新建18MW风电，拟安装2台单机容量5MW风电机组、2台单机容量4MW风电机组。</w:t>
            </w:r>
          </w:p>
        </w:tc>
        <w:tc>
          <w:tcPr>
            <w:tcW w:w="1700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项目风机拟变更为3台单机容量为6MW的风电机组，年内完成建设。</w:t>
            </w:r>
          </w:p>
        </w:tc>
        <w:tc>
          <w:tcPr>
            <w:tcW w:w="851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0.97</w:t>
            </w:r>
          </w:p>
        </w:tc>
        <w:tc>
          <w:tcPr>
            <w:tcW w:w="912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0.8</w:t>
            </w:r>
          </w:p>
        </w:tc>
      </w:tr>
      <w:tr w:rsidR="00470E48" w:rsidTr="00EE2666">
        <w:trPr>
          <w:jc w:val="center"/>
        </w:trPr>
        <w:tc>
          <w:tcPr>
            <w:tcW w:w="704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2410" w:type="dxa"/>
            <w:gridSpan w:val="2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内蒙古（奈曼）经安有色金属材料有限公司6MW分布式光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伏项目</w:t>
            </w:r>
            <w:proofErr w:type="gramEnd"/>
          </w:p>
        </w:tc>
        <w:tc>
          <w:tcPr>
            <w:tcW w:w="690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</w:t>
            </w:r>
          </w:p>
        </w:tc>
        <w:tc>
          <w:tcPr>
            <w:tcW w:w="1019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能源</w:t>
            </w:r>
          </w:p>
        </w:tc>
        <w:tc>
          <w:tcPr>
            <w:tcW w:w="1134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建设6MW分布式光伏项目。</w:t>
            </w:r>
          </w:p>
        </w:tc>
        <w:tc>
          <w:tcPr>
            <w:tcW w:w="1700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完成装机规模6MW的光伏围墙建设。</w:t>
            </w:r>
          </w:p>
        </w:tc>
        <w:tc>
          <w:tcPr>
            <w:tcW w:w="851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0.26</w:t>
            </w:r>
          </w:p>
        </w:tc>
        <w:tc>
          <w:tcPr>
            <w:tcW w:w="912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0.2</w:t>
            </w:r>
          </w:p>
        </w:tc>
      </w:tr>
      <w:tr w:rsidR="00470E48" w:rsidTr="00EE2666">
        <w:trPr>
          <w:jc w:val="center"/>
        </w:trPr>
        <w:tc>
          <w:tcPr>
            <w:tcW w:w="704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内蒙古安能环保新材料有限公司年加工200万吨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机制砂及240万吨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矿渣微粉项目</w:t>
            </w:r>
          </w:p>
        </w:tc>
        <w:tc>
          <w:tcPr>
            <w:tcW w:w="690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</w:t>
            </w:r>
          </w:p>
        </w:tc>
        <w:tc>
          <w:tcPr>
            <w:tcW w:w="1019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镍循环经济</w:t>
            </w:r>
          </w:p>
        </w:tc>
        <w:tc>
          <w:tcPr>
            <w:tcW w:w="1134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建设年产50万吨机制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砂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生产线四条</w:t>
            </w:r>
          </w:p>
        </w:tc>
        <w:tc>
          <w:tcPr>
            <w:tcW w:w="1700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完成生产车间主体工程，设备安装。</w:t>
            </w:r>
          </w:p>
        </w:tc>
        <w:tc>
          <w:tcPr>
            <w:tcW w:w="851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1.1</w:t>
            </w:r>
          </w:p>
        </w:tc>
        <w:tc>
          <w:tcPr>
            <w:tcW w:w="912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0.4</w:t>
            </w:r>
          </w:p>
        </w:tc>
      </w:tr>
      <w:tr w:rsidR="00470E48" w:rsidTr="00EE2666">
        <w:trPr>
          <w:jc w:val="center"/>
        </w:trPr>
        <w:tc>
          <w:tcPr>
            <w:tcW w:w="704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旗岩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磊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固体废物治理有限公司新型建材加工项目</w:t>
            </w:r>
          </w:p>
        </w:tc>
        <w:tc>
          <w:tcPr>
            <w:tcW w:w="690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</w:t>
            </w:r>
          </w:p>
        </w:tc>
        <w:tc>
          <w:tcPr>
            <w:tcW w:w="1019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镍循环经济</w:t>
            </w:r>
          </w:p>
        </w:tc>
        <w:tc>
          <w:tcPr>
            <w:tcW w:w="1134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建设镍铁废渣处理生产线两条，镍铁废渣为主要原料生产机制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砂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生产线一条。</w:t>
            </w:r>
          </w:p>
        </w:tc>
        <w:tc>
          <w:tcPr>
            <w:tcW w:w="1700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完成生产车间主体建设；完成设备安装。</w:t>
            </w:r>
          </w:p>
        </w:tc>
        <w:tc>
          <w:tcPr>
            <w:tcW w:w="851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0.5</w:t>
            </w:r>
          </w:p>
        </w:tc>
        <w:tc>
          <w:tcPr>
            <w:tcW w:w="912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0.3</w:t>
            </w:r>
          </w:p>
        </w:tc>
      </w:tr>
      <w:tr w:rsidR="00470E48" w:rsidTr="00EE2666">
        <w:trPr>
          <w:jc w:val="center"/>
        </w:trPr>
        <w:tc>
          <w:tcPr>
            <w:tcW w:w="704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2410" w:type="dxa"/>
            <w:gridSpan w:val="2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内蒙古鸿威新型建筑材料有限责任公司年加工200万吨镍废渣综合利用项目</w:t>
            </w:r>
          </w:p>
        </w:tc>
        <w:tc>
          <w:tcPr>
            <w:tcW w:w="690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</w:t>
            </w:r>
          </w:p>
        </w:tc>
        <w:tc>
          <w:tcPr>
            <w:tcW w:w="1019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镍循环经济</w:t>
            </w:r>
          </w:p>
        </w:tc>
        <w:tc>
          <w:tcPr>
            <w:tcW w:w="1134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新建2条机制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砂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生产线（每条生产线年产机制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砂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100万吨），年生产机制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砂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200万吨。其中本项目建设生产车间3000.00㎡、原料、成品库房4000㎡、综合办公用房500㎡、泵房、配电室100㎡、门卫20㎡。</w:t>
            </w:r>
          </w:p>
        </w:tc>
        <w:tc>
          <w:tcPr>
            <w:tcW w:w="1700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完成生产车间、库房及办公楼主体建设；办公楼装修围墙完成设备安装。厂区内道路施工完成。</w:t>
            </w:r>
          </w:p>
        </w:tc>
        <w:tc>
          <w:tcPr>
            <w:tcW w:w="851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12" w:type="dxa"/>
            <w:vAlign w:val="center"/>
          </w:tcPr>
          <w:p w:rsidR="00470E48" w:rsidRPr="00FD214F" w:rsidRDefault="00470E48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0.5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内蒙古乘顺云砂科技有限公司镍铁矿渣综合利用项目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镍循环经济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主要建设加工车间3000平方米，仓库2000平方米，研发中心、门卫等辅助用房1000平方米。购</w:t>
            </w: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置辊压粉碎机、振动筛、预拌混凝土、装饰地面砖等设备30台套，并配套建设道路、绿化给排水、变配电等辅助设施。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建设研发中心、门卫等辅助用房1000平方米。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0.4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0.18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通辽市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昊邦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新材料有限公司18万吨/年纳米级石油焦粉建设项目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镍循环经济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主要建设2500吨/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月加工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线六条，购置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纳米级主磨机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、纳米级分级机系统、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送粉系统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、纳米级输送系统、电磁振动给料系统、进料系统、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初破系统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、管道系统、电控柜自动化控制系统，纳米材料储存系统等组成。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完成生产车间、仓库及办公楼建设施工，大型设备主体安装完成。厂区内道路施工完成。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1.3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0.36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曼旗胜波特种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玻璃纤维制品项目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硅砂产业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胜波年产11000吨特种玻璃纤维拉丝，一期投资4000万，建设年产4000吨特种玻璃纤维拉丝纺纱织布生产线，二期投资4000万，年产4000吨特种玻璃纤维拉丝纱，三期投资3000万，建设3000吨特</w:t>
            </w: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种玻璃纤维拉丝纺纱生产线。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完成溶制车间、厂房主体工程，设备安装；完成厂区内道路施工完成。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1.2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0.2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旗财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鑫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农牧业科技有限公司奈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旗绿色蔬菜产业发展项目（二期）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建设2# 生产车间，主要进行预制菜和速冻玉米加工工作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建设2# 生产车间，主要进行预制菜和速冻玉米加工工作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0.38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0.32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内蒙古奥丽复合新材料有限公司玻纤制品项目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硅砂产业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年产11000吨特种玻璃纤维拉丝纺纱织布生产线，项目分三期建设，一期投资4000万元。建设年产4000吨特种玻璃纤维拉丝纺纱织布生产线，二期投资4000万元，建设年产4000吨玻璃纤维拉丝纺纱生产线，三期投资3000万元，建设年产3000吨玻璃纤维拉丝纺纱生产线。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完成办公楼、拉丝车间主体工程，设备的安装；完成厂区修路及办公楼装修。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0.2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曼旗明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阳智慧能源有限公司通辽市现代能源“风光火储制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研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一体化”示范项目奈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旗30万千瓦风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电项目</w:t>
            </w:r>
            <w:proofErr w:type="gramEnd"/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能源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新建30万千瓦风电及5.5万储能项目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完成75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台风机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吊装、68.6公里检修道路修筑、562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基集电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线路修筑及升压</w:t>
            </w: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站、储能站建设。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18.5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4.44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曼旗广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星配售电有限公司37MW分散式风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电项目</w:t>
            </w:r>
            <w:proofErr w:type="gramEnd"/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能源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建设37MW风电机组，单机容量5.0MW5台、单机容量6.0MW2台。配套设施及线路。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完成4台单机容量6250kW的风电机组及2台6000kW的风电机组、配套设施及线路建设。（项目风机已有7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台风机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核准变更为6台）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1.9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1.7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内蒙古（奈曼）经安有色金属材料有限公司不锈钢轧钢酸洗建设项目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镍循环经济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年产不锈钢卷材350万吨。新建1条3机3流和1条5机5流板坯连铸机;新建1条1450mm和1条1050mm轧钢生产线及其配套公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辅设施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;新建4条热轧不锈钢退火酸洗生产线;建设一条五机架冷轧生产线、两条冷轧不锈钢退火酸洗生产线及其公辅设施、平整拉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矫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机组、分卷机组。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56.9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7.6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16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内蒙古（奈曼）经安有色金属材料有限公司年产129.47万吨不锈钢产业链建设项目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镍循环经济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建设年产129.47万吨不锈钢生产线及配套附属设施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97.2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内蒙古兴固科技有限公司年产900万平方米纳米微晶新材料生产线项目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硅砂产业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新建纳米微晶新材料生产线2条，年产纳米微晶石新材料900万平方米。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第一条生产线釉烧工艺投产，预计8月第二条生产线开工建设。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57.2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4.9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曼旗恒波特种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玻璃纤维制品项目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硅砂产业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建设年产10000吨特种玻璃纤维拉丝纺纱织布生产线，项目分二期建设，其中一期投资3600万元，建设年产5000吨特种玻璃纤维拉丝纺纱织布生产线，二期投资3000万元，建设年产5000吨玻璃纤维拉丝纺纱生产线。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完成办公楼、熔制车间，配料车间、拉丝车间主体工程，配料车间及熔制车间设备安装，厂区内部道路施工。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0.66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0.2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内蒙古雄越玻璃纤维制品有限公司年产7000吨特种玻璃纤维纱、9000万平米玻璃纤维布生产项目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硅砂产业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建设年产7000吨特种玻璃纤维纱、9000万平米玻璃纤维布生产线。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完成办公楼，拉丝车间、织布车间主体工程、安装完20台拉丝机、4台纺纱机；厂区道路施工完成。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1.01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0.16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内蒙古业凯玻璃纤维制品有限公司年产6000吨高性能玻璃纤维拉丝纱织布生产线建设项目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硅砂产业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建设年产6000吨高性能玻璃纤维拉丝纱织布生产线。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完成办公楼、拉丝车间主体工程，35台拉丝机已安装；厂区路面硬化施工完成。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0.75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0.16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内蒙古丝旋玻璃纤维制品有限公司特种玻璃纤维制品项目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硅砂产业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总建筑面积13224平方米，其中织布车间6000平方米，拉丝车间6000平方米，办公楼1200平方米，门卫24平方米，购置安装生产线设备及附属设备795台，并进行水、电、暖等配套设施的建设。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完成办公楼、拉丝车间主体工程，设备的安装；完成厂区修路及办公楼装修。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0.3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内蒙古蒙沂药业有限公司蒙中药种植饮片加工及仓储物流项目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蒙中医药生产加工（包含仿制药）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建设一条中蒙药饮片联动自动化智能生产线、一条中蒙药饮片传统生产线、一条直接口服中药饮片生产线，年产蒙中药饮片19595.4吨。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进行外墙施工，筹备资金建设5000平仓储设施。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2.9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0.1</w:t>
            </w:r>
          </w:p>
        </w:tc>
      </w:tr>
      <w:tr w:rsidR="00B53EDC" w:rsidTr="00EE2666">
        <w:trPr>
          <w:jc w:val="center"/>
        </w:trPr>
        <w:tc>
          <w:tcPr>
            <w:tcW w:w="12185" w:type="dxa"/>
            <w:gridSpan w:val="11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二、农牧林草（5个）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4.49 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4.49 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旗2023年高效节水灌溉项目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农牧林草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其它(农牧林草)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政府投资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新建高效节水高标准农田4万亩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新建高标准农田浅埋滴灌项目4万亩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0.68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0.68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旗2023年高标准农田改造提升项目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农牧林草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高标准农田建设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政府投资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改造提升管灌面积10万亩，达到浅埋滴灌标准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新建高标准农田改造提升项目浅埋滴灌10万亩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1.7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1.7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旗整合涉农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涉牧资金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项目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农牧林草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畜牧业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政府投资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2023年衔接资金共谋划22个项目，其中形成固定资产的项目16个，资金规模16182万元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1.6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1.6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旗2023年京蒙协作项目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农牧林草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畜牧业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政府投资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产业发展项目及乡村建设类项目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0.4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0.4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旗2023年衔接资金入库项目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农牧林草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其它(农牧林草)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政府投资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苇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连苏乡、固日班花苏木产业发展类项目、治安镇基础设施类项目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0.11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0.11</w:t>
            </w:r>
          </w:p>
        </w:tc>
      </w:tr>
      <w:tr w:rsidR="00B53EDC" w:rsidTr="00EE2666">
        <w:trPr>
          <w:jc w:val="center"/>
        </w:trPr>
        <w:tc>
          <w:tcPr>
            <w:tcW w:w="12185" w:type="dxa"/>
            <w:gridSpan w:val="11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三、基础设施（18个）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12.28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8.52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省道503线奈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至阜新公路三道古街村至互利村（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蒙辽界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）路面改造工程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基础设施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重大基础设施建设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政府投资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二级公路、56公里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二级公路 56公里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1.1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4C6506" w:rsidRPr="00B53EDC" w:rsidTr="00EE2666">
        <w:trPr>
          <w:jc w:val="center"/>
        </w:trPr>
        <w:tc>
          <w:tcPr>
            <w:tcW w:w="704" w:type="dxa"/>
            <w:vAlign w:val="center"/>
          </w:tcPr>
          <w:p w:rsidR="004C6506" w:rsidRPr="00B53EDC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B53EDC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B53EDC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bCs/>
                <w:kern w:val="0"/>
                <w:szCs w:val="21"/>
                <w:u w:val="single"/>
              </w:rPr>
            </w:pPr>
            <w:r w:rsidRPr="00B53EDC">
              <w:rPr>
                <w:rFonts w:asciiTheme="minorEastAsia" w:hAnsiTheme="minorEastAsia" w:cs="宋体" w:hint="eastAsia"/>
                <w:bCs/>
                <w:kern w:val="0"/>
                <w:szCs w:val="21"/>
                <w:u w:val="single"/>
              </w:rPr>
              <w:t>奈</w:t>
            </w:r>
            <w:proofErr w:type="gramStart"/>
            <w:r w:rsidRPr="00B53EDC">
              <w:rPr>
                <w:rFonts w:asciiTheme="minorEastAsia" w:hAnsiTheme="minorEastAsia" w:cs="宋体" w:hint="eastAsia"/>
                <w:bCs/>
                <w:kern w:val="0"/>
                <w:szCs w:val="21"/>
                <w:u w:val="single"/>
              </w:rPr>
              <w:t>曼</w:t>
            </w:r>
            <w:proofErr w:type="gramEnd"/>
            <w:r w:rsidRPr="00B53EDC">
              <w:rPr>
                <w:rFonts w:asciiTheme="minorEastAsia" w:hAnsiTheme="minorEastAsia" w:cs="宋体" w:hint="eastAsia"/>
                <w:bCs/>
                <w:kern w:val="0"/>
                <w:szCs w:val="21"/>
                <w:u w:val="single"/>
              </w:rPr>
              <w:t>旗工业园区增量配电网220kV变电站工程</w:t>
            </w:r>
          </w:p>
        </w:tc>
        <w:tc>
          <w:tcPr>
            <w:tcW w:w="690" w:type="dxa"/>
            <w:vAlign w:val="center"/>
          </w:tcPr>
          <w:p w:rsidR="004C6506" w:rsidRPr="00B53EDC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B53EDC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B53EDC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B53EDC">
              <w:rPr>
                <w:rFonts w:asciiTheme="minorEastAsia" w:hAnsiTheme="minorEastAsia" w:cs="宋体" w:hint="eastAsia"/>
                <w:kern w:val="0"/>
                <w:szCs w:val="21"/>
              </w:rPr>
              <w:t>基础设施</w:t>
            </w:r>
          </w:p>
        </w:tc>
        <w:tc>
          <w:tcPr>
            <w:tcW w:w="1019" w:type="dxa"/>
            <w:vAlign w:val="center"/>
          </w:tcPr>
          <w:p w:rsidR="004C6506" w:rsidRPr="00B53EDC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B53EDC">
              <w:rPr>
                <w:rFonts w:asciiTheme="minorEastAsia" w:hAnsiTheme="minorEastAsia" w:cs="宋体" w:hint="eastAsia"/>
                <w:kern w:val="0"/>
                <w:szCs w:val="21"/>
              </w:rPr>
              <w:t>重大基础设施建设</w:t>
            </w:r>
          </w:p>
        </w:tc>
        <w:tc>
          <w:tcPr>
            <w:tcW w:w="1134" w:type="dxa"/>
            <w:vAlign w:val="center"/>
          </w:tcPr>
          <w:p w:rsidR="004C6506" w:rsidRPr="00B53EDC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B53EDC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C6506" w:rsidRPr="00B53EDC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B53EDC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B53EDC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B53EDC">
              <w:rPr>
                <w:rFonts w:asciiTheme="minorEastAsia" w:hAnsiTheme="minorEastAsia" w:cs="宋体" w:hint="eastAsia"/>
                <w:kern w:val="0"/>
                <w:szCs w:val="21"/>
              </w:rPr>
              <w:t>配网内规划建设220kV变电站一座及配套输电线路、道路工程。</w:t>
            </w:r>
          </w:p>
        </w:tc>
        <w:tc>
          <w:tcPr>
            <w:tcW w:w="1700" w:type="dxa"/>
            <w:vAlign w:val="center"/>
          </w:tcPr>
          <w:p w:rsidR="004C6506" w:rsidRPr="00B53EDC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B53EDC">
              <w:rPr>
                <w:rFonts w:asciiTheme="minorEastAsia" w:hAnsiTheme="minorEastAsia" w:cs="宋体" w:hint="eastAsia"/>
                <w:kern w:val="0"/>
                <w:szCs w:val="21"/>
              </w:rPr>
              <w:t>新建一座220kV变电站一座</w:t>
            </w:r>
          </w:p>
        </w:tc>
        <w:tc>
          <w:tcPr>
            <w:tcW w:w="851" w:type="dxa"/>
            <w:vAlign w:val="center"/>
          </w:tcPr>
          <w:p w:rsidR="004C6506" w:rsidRPr="00B53EDC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B53EDC">
              <w:rPr>
                <w:rFonts w:asciiTheme="minorEastAsia" w:hAnsiTheme="minorEastAsia" w:cs="宋体" w:hint="eastAsia"/>
                <w:kern w:val="0"/>
                <w:szCs w:val="21"/>
              </w:rPr>
              <w:t>1.2</w:t>
            </w:r>
          </w:p>
        </w:tc>
        <w:tc>
          <w:tcPr>
            <w:tcW w:w="912" w:type="dxa"/>
            <w:vAlign w:val="center"/>
          </w:tcPr>
          <w:p w:rsidR="004C6506" w:rsidRPr="00B53EDC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B53EDC">
              <w:rPr>
                <w:rFonts w:asciiTheme="minorEastAsia" w:hAnsiTheme="minorEastAsia" w:cs="宋体" w:hint="eastAsia"/>
                <w:kern w:val="0"/>
                <w:szCs w:val="21"/>
              </w:rPr>
              <w:t>1.2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蒙东通辽奈曼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旗66kV输变电工程（沙日塘、八仙筒）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基础设施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重大基础设施建设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旗沙日塘66kV变电站主变扩建工程：建设内容：新增66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千伏主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变一台。奈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旗八仙筒66kV变电站移址新建工程，建设内容：建设66千伏线路长度：1千米。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完成主设备安装。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0.56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0.5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蒙东通辽奈曼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旗黄花塔拉66kV变电站扩建工程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基础设施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重大基础设施建设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旗黄花塔拉66kV变电站扩建工程，建设内容：建设66千伏线路长度：27千米。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进行场地清理,基础开挖。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0.44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0.1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蒙东通辽奈曼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旗东明66kV变电站移址新建工程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基础设施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重大基础设施建设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蒙东通辽奈曼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旗东明66kV变电站移址新建工程：建设内容：建设66千伏线路长度：4.9千米，变电容量：5.15万千伏安。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进行场地清理,基础开挖。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0.36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0.06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蒙东通辽奈曼旗大沁他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拉66kV变电站改造工程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基础设施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重大基础设施建设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建设内容：建设66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千伏变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电容量：6.3万千伏安。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完成1号主变投运。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0.35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0.35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蒙东通辽奈曼旗图力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格66kV输变电工程及10kV配套工程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基础设施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重大基础设施建设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建设内容：建设66千伏线路长度：1.8千米，变电容量：4万千伏安。奈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曼旗图力格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66kV输变电工程10千伏配套工程，建设内容：建设10千伏线路。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建成66千伏线路长度：1.8千米，变电容量：4万千伏安，投运。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0.29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0.29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蒙东通辽奈曼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旗2023年10千伏及以下农网工程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基础设施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重大基础设施建设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建设内容：建设10千伏线路长度：105.59千米，低压线路132.43千米，改造配电变压器110台。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建成10千伏线路长度：105.59千米，低压线路132.43千米，改造配电变压器110台。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0.75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0.75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旗大镇市政基础设施建设工程项目（一期、二期工程）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基础设施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新型城镇化建设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政府投资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该主体一期为征完地的4条道路及配套管网工程的建设，路长约1.5公里。（总投资0.2亿元，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年度投资0.2亿元）二期为路长约1.3公里，目前正在施工图审查阶段。（总投资0.13亿元，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年度投资0.13亿元）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0.33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0.33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2022年奈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旗大镇市政道路改造工程（工业路）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基础设施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新型城镇化建设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政府投资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该工程为工业路南段和中段的改造工程，路长约2.5公里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0.22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0.22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旗2023年度给排水管网改造工程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基础设施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新型城镇化建设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政府投资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改造雨水管网27.64公里，投资6041万；改造污水管网11.61公里，投资2832万；改造给水管网8.803公里，投资1610万；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1.04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1.04</w:t>
            </w:r>
          </w:p>
        </w:tc>
      </w:tr>
      <w:tr w:rsidR="004C6506" w:rsidTr="00EE2666">
        <w:trPr>
          <w:jc w:val="center"/>
        </w:trPr>
        <w:tc>
          <w:tcPr>
            <w:tcW w:w="70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2410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2023年奈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旗老旧小区改造配套基础设施建设项目</w:t>
            </w:r>
          </w:p>
        </w:tc>
        <w:tc>
          <w:tcPr>
            <w:tcW w:w="69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其他大类</w:t>
            </w:r>
          </w:p>
        </w:tc>
        <w:tc>
          <w:tcPr>
            <w:tcW w:w="1019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政府投资</w:t>
            </w:r>
          </w:p>
        </w:tc>
        <w:tc>
          <w:tcPr>
            <w:tcW w:w="2126" w:type="dxa"/>
            <w:gridSpan w:val="2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15个小区，共28栋楼，869户，建筑面积9.4万平方米，将对小区内的采暖管网、给水管网、排水管网、室外硬化、电力管网进行更新改造，同时加装燃气管网，具备条件的小区将增加庭院照明设施、充电桩。</w:t>
            </w:r>
          </w:p>
        </w:tc>
        <w:tc>
          <w:tcPr>
            <w:tcW w:w="1700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0.25</w:t>
            </w:r>
          </w:p>
        </w:tc>
        <w:tc>
          <w:tcPr>
            <w:tcW w:w="912" w:type="dxa"/>
            <w:vAlign w:val="center"/>
          </w:tcPr>
          <w:p w:rsidR="004C6506" w:rsidRPr="00FD214F" w:rsidRDefault="004C6506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0.25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2023年奈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旗老旧小区改造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完善类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其他大类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政府投资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15个小区，共28栋楼，869户，建筑面积9.4万平方米，将对小区内重做楼顶防水、更换单元门、落</w:t>
            </w: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水管、对楼梯间墙面及楼梯扶手进行翻新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0.09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0.09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大沁他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拉—宝古图沙漠景区旅游路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基础设施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重大基础设施建设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政府投资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二级公路，36公里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二级公路 36公里 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2.46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0.5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内蒙古通辽市奈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旗大健康产业标准化厂房建设项目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基础设施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重大基础设施建设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该项目拟规划占地面积42699.573平方米（约合64.05亩），规划建筑面积36337平方米，总投资7700万元。其中，建设标准化厂房6栋，地上2层钢结构厂房，建筑高度9米，总建筑面积28152平方米；研发综合楼1栋，地上5层综合楼，建筑高度21米，建筑面积5602平方米；附属设施1栋，建筑面积2038平方米；并建设消防泵房、消防水池等设施合计545平方米；并同步实施道路与硬化、室外管网</w:t>
            </w: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及变配电设施等配套基础设施建设。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年内全部建设完成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0.77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0.31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16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旗工业园区六条道路工程建设项目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基础设施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新型城镇化建设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政府投资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旗工业园区医药园区道路工程，本路线全长约0.585km，奈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工业园区仁创大街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道路及附属排水工程，本路线全长约0.414km，总面积约4349平方米.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旗工业园区道路工程建设项目共修建6条道路，路线全长约4.934km。1、奈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旗工业园区医药园区道路工程，本路线全长约0.585km,规划红线宽度33米。其中KO000至KO422.264段新建9米宽行车道及两侧各2宽人行道:K0422.264至K0584.826段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原道路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为6米宽沥青路，在两侧各拓宽1.5米行车道及2米人行道，拓宽后行车道路面总宽度为9米。2、奈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工业园区仁创</w:t>
            </w: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大街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道路及附属排水工程，本路线全长约0.414km,总面积约4349平方米，规划红线宽度28米。路线起点为金园路，终点为兴柏。3、奈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旗工业大道养护工程，本路线全长1.087km,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养内容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为: 车道边缘线869.6平方米，同向车道分界线108.9平方米。4、奈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旗玻纤产业园区道路工程，线路一起点位于奈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玻纤产业园区内蒙东路，起点桩号为KO000,终点桩号K1011.404:线路二位于奈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玻纤产业园区内起点</w:t>
            </w: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桩号为KO000,终点桩号K0907.103,路线全长1.919km。5、奈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旗工业园区锦绣大街道路工程，起点位于国道111线上，起点桩号为K0 000，终点位于锦绣大街上，终点桩号KO550.942,路线全长0.551Km。6、奈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旗工业园区蒙东路铁路平交道口，新建道路为沥青路面，全长0. 378km。行车道宽度16.Om,两侧土路肩宽度各0.75m。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0.24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0.24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内蒙古通辽市奈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大沁他拉镇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新水源地建设工程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基础设施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新型城镇化建设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政府投资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水源地保护区占地面积700万m</w:t>
            </w:r>
            <w:r w:rsidRPr="00FD214F">
              <w:rPr>
                <w:rFonts w:asciiTheme="minorEastAsia" w:hAnsiTheme="minorEastAsia" w:cs="宋体" w:hint="eastAsia"/>
                <w:kern w:val="0"/>
                <w:szCs w:val="21"/>
                <w:vertAlign w:val="superscript"/>
              </w:rPr>
              <w:t>2</w:t>
            </w: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,新打水源井20眼、输水管网21550m，配水管</w:t>
            </w: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网30061.5m，新建水源地取水规模为3.24万吨/日，规模2万吨/日的净水厂一座，处理工艺为过滤消毒。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1.44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18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大沁他拉镇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生活污水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处理厂改扩建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工程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基础设施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新型城镇化建设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政府投资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对奈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大沁他拉镇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生活污水处理厂内现有一条15000m³/d污水处理工艺进行提标改造，出水水质达到一级A标准。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0.39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0.29</w:t>
            </w:r>
          </w:p>
        </w:tc>
      </w:tr>
      <w:tr w:rsidR="00B53EDC" w:rsidTr="00EE2666">
        <w:trPr>
          <w:jc w:val="center"/>
        </w:trPr>
        <w:tc>
          <w:tcPr>
            <w:tcW w:w="12185" w:type="dxa"/>
            <w:gridSpan w:val="11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四、社会事业（6个）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0.80 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0.68 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旗青龙山中学教学综合楼建设项目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社会事业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文教卫生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政府投资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教学综合楼8500平方米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新建1#教学综合楼建筑面积为4000 ㎡，地上4 层，框架结构，建筑总高度16.8m，新建2#教学综合楼，建筑面积为4500 ㎡，地上4 层，框架结构，建筑总高度16.8m，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0.28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0.16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旗第六中学综合楼建设项目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社会事业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文教卫生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政府投资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新建综合楼4000平方米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新建综合楼，建筑面积为4000 </w:t>
            </w: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㎡，地上5 层，框架结构。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0.1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0.1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旗第二小学新建综合楼建设项目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社会事业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文教卫生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政府投资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新建综合楼3800平方米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教学综合楼建筑面积为 3800 ㎡， 地上 4 层， 框架结构，建筑总高度 15.6m。 项目主要内容包括建筑主体工程、 装修安装工程、给排水工程、 电力工程、 消防等公用工程及附属设施建设。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0.11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0.11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旗第四小学学区中心校教学楼建设项目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社会事业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文教卫生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政府投资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新建教学楼6000平方米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建设内容为新建一栋教学楼， 拟规划占地面积1200 ㎡， 拟建设总建筑面积为 6000 ㎡， 其中， 拟建教学楼建筑面积为 6000 ㎡， 地上 5 层， 框架结构， 建筑总高度 19.2m， 同</w:t>
            </w: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时进行相关附属配套设施建设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0.17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0.17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内蒙古通辽市奈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八仙筒镇八仙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筒学区中心小学学生食堂建设工程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社会事业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文教卫生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政府投资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新建学生食堂1400平方米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新建学生食堂一栋，建筑面积1400平方米，地上二层框架结构，及其他配套附属工程。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0.06 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0.06 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内蒙古通辽市奈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旗第三中学体育活动室建设项目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社会事业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文教卫生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政府投资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新建体育活动室2400平方米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新建学生体育活动室一栋，建筑面积2400平方米，地上二层框架结构，及其他配套附属工程。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0.09 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0.09 </w:t>
            </w:r>
          </w:p>
        </w:tc>
      </w:tr>
      <w:tr w:rsidR="00B53EDC" w:rsidTr="00EE2666">
        <w:trPr>
          <w:jc w:val="center"/>
        </w:trPr>
        <w:tc>
          <w:tcPr>
            <w:tcW w:w="8359" w:type="dxa"/>
            <w:gridSpan w:val="8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五、商贸流通（3个）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4.82 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0.38 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内蒙古通辽市奈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旗白音他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拉旅游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小镇建设项目（消防工程）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商贸流通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新建沙漠旅游区、自驾车露营地、沙漠越野家园、沙漠应急点10处及沙地经济采摘园以及道路、排水、管网等附属设施。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建设消防水池、喷淋系统、高压水箱间及相关消防附属工程。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2.32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0.04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内蒙古占布拉道尔吉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蒙药材城建设项目</w:t>
            </w:r>
            <w:proofErr w:type="gramEnd"/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商贸流通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建设会展中心、交易中心及占布拉道尔吉纪念馆附属工程。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建设会展中心和纪念馆主体剩余10%工程，及绿化、亮化、景观</w:t>
            </w: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相关附属工程收尾工作。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2.4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0.24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内蒙古奈金石油有限公司加油加气站建设项目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商贸流通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该项目占地面积7000㎡，建筑面积2612.36㎡。新建钢架罩棚2016㎡、站房308㎡、储罐区288.36㎡。购置30m³地埋双层汽油储油罐3个、30m³地埋双层柴油储油罐4个、60m³LNG储罐1个、双枪加油机10台，加气机2台（双枪）、二次油气回收系统、卸车增压器、低温潜液泵、防爆机、污水罐等设备，并配套建设化粪池1座、油水隔离池1座、场地硬化、绿化、围墙、给排水、变配电、工艺管道、暖通、消防等。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本年度加油加气站罩棚、站房、罐区、配套建设的绿化、暖通、消防等全部完成建设。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0.1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0.1</w:t>
            </w:r>
          </w:p>
        </w:tc>
      </w:tr>
      <w:tr w:rsidR="00B53EDC" w:rsidTr="00EE2666">
        <w:trPr>
          <w:jc w:val="center"/>
        </w:trPr>
        <w:tc>
          <w:tcPr>
            <w:tcW w:w="8359" w:type="dxa"/>
            <w:gridSpan w:val="8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六、房地产开发（15个）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12.44 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6.91 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旗2023年新建房地产项目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房地产开发及</w:t>
            </w: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保障性住房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新建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总建筑面积31万平方米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旗2023年新建房地产项目</w:t>
            </w: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预计完成一半建设内容。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 xml:space="preserve">6.56 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3.06 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旗阳光小区保障性租赁住房项目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房地产开发及保障性住房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政府投资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开工建设8幢保障性租赁房，建筑面积2.63万平方米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主体全部封顶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0.85 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0.85 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旗新镇旭升家园小区住宅楼建设项目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房地产开发及保障性住房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新镇旭升家园小区1#、2#住宅楼（换发）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新镇旭升家园小区1#、2#住宅楼今年无法完成全部建设内容，预计2024年10底前完成项目建设。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0.28 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0.17 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旗泰和新城小区住宅楼建设项目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房地产开发及保障性住房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泰和新城小区29#、30#、31#、35#、36#住宅楼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泰和新城小区29#、30#、31#、35#、36#住宅楼预计年底前完成项目建设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0.23 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0.14 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旗枫林花语住宅小区二期工程建设项目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房地产开发及保障性住房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枫林花语住宅小区二期工程（10#、11#、12#、13#、14#、15#、16#楼及地下车库）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枫林花语住宅小区二期工程（10#、11#、12#、13#、14#、15#、16#楼及地下车库）预计年底前完成项目建设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0.46 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0.28 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雅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鑫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城小区及商业楼建设项目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房地产开发及保障性住房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旗雅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鑫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城小区及商业楼建设项目（1#、2#、3#、9#楼及地下车库）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旗雅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鑫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城小区及商业楼建设项目（1#、2#、3#、9#楼及地下车库）预计年底前完成项目建设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0.40 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0.24 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旗盛世豪庭小区棚户区改造建设项目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房地产开发及保障性住房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盛世豪庭小区棚户区改造6-24#、7-27#、25#楼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盛世豪庭小区棚户区改造6-24#、7-27#、25#楼预计年底前完成项目建设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0.23 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0.14 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旗越洋城·温泉花园小区一期工程建设项目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房地产开发及保障性住房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越洋城·温泉花园小区一期工程（1#、2#、3#楼）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越洋城·温泉花园小区一期工程（1#、2#、3#楼）今年无法完成全部建设内容，预计2024年10底前完成项目建设。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0.54 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0.31 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曼旗嘉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和国际小区二期A区棚户区改造项目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房地产开发及保障性住房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曼旗嘉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和国际小区二期A区棚户区改造项目2#、6#、9#、10#、11#、15#、16#楼  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曼旗嘉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和国际小区二期A区棚户区改造项目2#、6#、9#、10#、11#、15#、16#楼  预计年底前完成项目建设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0.38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0.23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曼旗华典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新城商住楼建设项目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房地产开发及保障性住房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华典新城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7#、8#商住楼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华典新城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7#、8#商住楼预计年底前完成项目建设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0.23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0.14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旗盛世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悦府小区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房地产开发及保障性住房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旗盛世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悦府小区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建设项目1#、</w:t>
            </w: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2#、3#、4#住宅楼、地下车库、人防地下室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旗盛世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悦府小区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建设项目1#、</w:t>
            </w: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2#、3#、4#住宅楼、地下车库、人防地下室预计年底前完成项目建设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0.32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0.19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曼旗华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明时代品格小区建设项目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房地产开发及保障性住房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曼旗华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明时代品格小区（12#、13#、15#、16#楼）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曼旗华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明时代品格小区（12#、13#、15#、16#楼）预计年底前完成项目建设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0.42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0.25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曼旗金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园明珠楼建设项目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房地产开发及保障性住房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金园明珠15#、16#、17#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金园明珠15#、16#、17#预计年底前完成项目建设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0.51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0.31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曼旗泰丰悦熙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原著建设项目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房地产开发及保障性住房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泰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丰悦熙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原著9#、10#、11#、12#13#、15#、16#号楼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泰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丰悦熙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原著9#、10#、11#、12#13#、15#、16#号楼预计年</w:t>
            </w: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底前完成项目建设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0.59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0.35</w:t>
            </w:r>
          </w:p>
        </w:tc>
      </w:tr>
      <w:tr w:rsidR="00B53EDC" w:rsidTr="00EE2666">
        <w:trPr>
          <w:jc w:val="center"/>
        </w:trPr>
        <w:tc>
          <w:tcPr>
            <w:tcW w:w="70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15</w:t>
            </w:r>
          </w:p>
        </w:tc>
        <w:tc>
          <w:tcPr>
            <w:tcW w:w="2410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奈</w:t>
            </w:r>
            <w:proofErr w:type="gramStart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旗翰林时代建设项目</w:t>
            </w:r>
          </w:p>
        </w:tc>
        <w:tc>
          <w:tcPr>
            <w:tcW w:w="69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</w:t>
            </w:r>
          </w:p>
        </w:tc>
        <w:tc>
          <w:tcPr>
            <w:tcW w:w="1019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房地产开发及保障性住房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续建</w:t>
            </w:r>
          </w:p>
        </w:tc>
        <w:tc>
          <w:tcPr>
            <w:tcW w:w="1134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民间投资</w:t>
            </w:r>
          </w:p>
        </w:tc>
        <w:tc>
          <w:tcPr>
            <w:tcW w:w="2126" w:type="dxa"/>
            <w:gridSpan w:val="2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翰林时代1#-4#</w:t>
            </w:r>
          </w:p>
        </w:tc>
        <w:tc>
          <w:tcPr>
            <w:tcW w:w="1700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翰林时代1#-4#预计年底前完成项目建设</w:t>
            </w:r>
          </w:p>
        </w:tc>
        <w:tc>
          <w:tcPr>
            <w:tcW w:w="851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0.44</w:t>
            </w:r>
          </w:p>
        </w:tc>
        <w:tc>
          <w:tcPr>
            <w:tcW w:w="912" w:type="dxa"/>
            <w:vAlign w:val="center"/>
          </w:tcPr>
          <w:p w:rsidR="00B53EDC" w:rsidRPr="00FD214F" w:rsidRDefault="00B53EDC" w:rsidP="00B53EDC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D214F">
              <w:rPr>
                <w:rFonts w:asciiTheme="minorEastAsia" w:hAnsiTheme="minorEastAsia" w:cs="宋体" w:hint="eastAsia"/>
                <w:kern w:val="0"/>
                <w:szCs w:val="21"/>
              </w:rPr>
              <w:t>0.25</w:t>
            </w:r>
          </w:p>
        </w:tc>
      </w:tr>
      <w:bookmarkEnd w:id="0"/>
    </w:tbl>
    <w:p w:rsidR="00BE5247" w:rsidRPr="00FD214F" w:rsidRDefault="00BE5247" w:rsidP="00B53EDC">
      <w:pPr>
        <w:spacing w:line="300" w:lineRule="exact"/>
        <w:rPr>
          <w:rFonts w:asciiTheme="minorEastAsia" w:hAnsiTheme="minorEastAsia"/>
          <w:szCs w:val="21"/>
        </w:rPr>
      </w:pPr>
    </w:p>
    <w:sectPr w:rsidR="00BE5247" w:rsidRPr="00FD214F" w:rsidSect="006D6C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99"/>
    <w:rsid w:val="0043154E"/>
    <w:rsid w:val="00470E48"/>
    <w:rsid w:val="004C6506"/>
    <w:rsid w:val="00501D6C"/>
    <w:rsid w:val="006D6C99"/>
    <w:rsid w:val="007B0306"/>
    <w:rsid w:val="00A13DB4"/>
    <w:rsid w:val="00B53EDC"/>
    <w:rsid w:val="00BE5247"/>
    <w:rsid w:val="00EE2666"/>
    <w:rsid w:val="00FD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58822-530A-4447-991A-51FBC70E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4749</Words>
  <Characters>5557</Characters>
  <Application>Microsoft Office Word</Application>
  <DocSecurity>0</DocSecurity>
  <Lines>1111</Lines>
  <Paragraphs>792</Paragraphs>
  <ScaleCrop>false</ScaleCrop>
  <Company>Microsoft</Company>
  <LinksUpToDate>false</LinksUpToDate>
  <CharactersWithSpaces>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2023-07-13T02:59:00Z</dcterms:created>
  <dcterms:modified xsi:type="dcterms:W3CDTF">2023-07-13T02:59:00Z</dcterms:modified>
</cp:coreProperties>
</file>