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hint="eastAsia" w:ascii="宋体" w:hAnsi="宋体" w:eastAsia="宋体"/>
          <w:sz w:val="44"/>
          <w:szCs w:val="44"/>
          <w:lang w:eastAsia="zh-CN"/>
        </w:rPr>
      </w:pPr>
      <w:r>
        <w:rPr>
          <w:rFonts w:hint="eastAsia" w:ascii="宋体" w:hAnsi="宋体" w:eastAsia="宋体"/>
          <w:sz w:val="44"/>
          <w:szCs w:val="44"/>
          <w:lang w:eastAsia="zh-CN"/>
        </w:rPr>
        <w:t>治安镇西呼拉斯台嘎查农田电力设施配套项目</w:t>
      </w:r>
    </w:p>
    <w:p>
      <w:pPr>
        <w:jc w:val="center"/>
        <w:rPr>
          <w:rFonts w:ascii="宋体" w:hAnsi="宋体" w:eastAsia="宋体"/>
          <w:sz w:val="44"/>
          <w:szCs w:val="44"/>
        </w:rPr>
      </w:pPr>
    </w:p>
    <w:p>
      <w:pPr>
        <w:jc w:val="center"/>
        <w:rPr>
          <w:rFonts w:ascii="宋体" w:hAnsi="宋体" w:eastAsia="宋体"/>
          <w:sz w:val="44"/>
          <w:szCs w:val="44"/>
        </w:rPr>
      </w:pPr>
    </w:p>
    <w:p>
      <w:pPr>
        <w:jc w:val="center"/>
        <w:rPr>
          <w:rFonts w:hint="eastAsia" w:ascii="宋体" w:hAnsi="宋体" w:eastAsia="宋体"/>
          <w:sz w:val="72"/>
          <w:szCs w:val="72"/>
          <w:lang w:val="en-US" w:eastAsia="zh-CN"/>
        </w:rPr>
      </w:pPr>
      <w:r>
        <w:rPr>
          <w:rFonts w:hint="eastAsia" w:ascii="宋体" w:hAnsi="宋体" w:eastAsia="宋体"/>
          <w:sz w:val="72"/>
          <w:szCs w:val="72"/>
          <w:lang w:val="en-US" w:eastAsia="zh-CN"/>
        </w:rPr>
        <w:t>实 施 方 案</w:t>
      </w:r>
    </w:p>
    <w:p>
      <w:pPr>
        <w:jc w:val="center"/>
        <w:rPr>
          <w:rFonts w:ascii="宋体" w:hAnsi="宋体" w:eastAsia="宋体"/>
          <w:sz w:val="44"/>
          <w:szCs w:val="44"/>
        </w:rPr>
      </w:pPr>
    </w:p>
    <w:p>
      <w:pPr>
        <w:jc w:val="center"/>
        <w:rPr>
          <w:rFonts w:ascii="宋体" w:hAnsi="宋体" w:eastAsia="宋体"/>
          <w:sz w:val="44"/>
          <w:szCs w:val="44"/>
        </w:rPr>
      </w:pPr>
    </w:p>
    <w:p>
      <w:pPr>
        <w:jc w:val="center"/>
        <w:rPr>
          <w:rFonts w:ascii="宋体" w:hAnsi="宋体" w:eastAsia="宋体"/>
          <w:sz w:val="44"/>
          <w:szCs w:val="44"/>
        </w:rPr>
      </w:pPr>
    </w:p>
    <w:p>
      <w:pPr>
        <w:jc w:val="center"/>
        <w:rPr>
          <w:rFonts w:ascii="宋体" w:hAnsi="宋体" w:eastAsia="宋体"/>
          <w:sz w:val="44"/>
          <w:szCs w:val="44"/>
        </w:rPr>
      </w:pPr>
    </w:p>
    <w:p>
      <w:pPr>
        <w:jc w:val="both"/>
        <w:rPr>
          <w:rFonts w:ascii="宋体" w:hAnsi="宋体" w:eastAsia="宋体"/>
          <w:sz w:val="44"/>
          <w:szCs w:val="44"/>
        </w:rPr>
      </w:pPr>
    </w:p>
    <w:p>
      <w:pPr>
        <w:jc w:val="both"/>
        <w:rPr>
          <w:rFonts w:ascii="宋体" w:hAnsi="宋体" w:eastAsia="宋体"/>
          <w:sz w:val="44"/>
          <w:szCs w:val="44"/>
        </w:rPr>
      </w:pPr>
    </w:p>
    <w:p>
      <w:pPr>
        <w:jc w:val="both"/>
        <w:rPr>
          <w:rFonts w:ascii="宋体" w:hAnsi="宋体" w:eastAsia="宋体"/>
          <w:sz w:val="44"/>
          <w:szCs w:val="44"/>
        </w:rPr>
      </w:pPr>
    </w:p>
    <w:p>
      <w:pPr>
        <w:jc w:val="both"/>
        <w:rPr>
          <w:rFonts w:ascii="宋体" w:hAnsi="宋体" w:eastAsia="宋体"/>
          <w:sz w:val="44"/>
          <w:szCs w:val="44"/>
        </w:rPr>
      </w:pPr>
    </w:p>
    <w:p>
      <w:pPr>
        <w:jc w:val="both"/>
        <w:rPr>
          <w:rFonts w:ascii="宋体" w:hAnsi="宋体" w:eastAsia="宋体"/>
          <w:sz w:val="44"/>
          <w:szCs w:val="44"/>
        </w:rPr>
      </w:pPr>
    </w:p>
    <w:p>
      <w:pPr>
        <w:jc w:val="center"/>
        <w:rPr>
          <w:rFonts w:ascii="宋体" w:hAnsi="宋体" w:eastAsia="宋体"/>
          <w:sz w:val="44"/>
          <w:szCs w:val="44"/>
        </w:rPr>
      </w:pPr>
    </w:p>
    <w:p>
      <w:pPr>
        <w:jc w:val="center"/>
        <w:rPr>
          <w:rFonts w:ascii="宋体" w:hAnsi="宋体" w:eastAsia="宋体"/>
          <w:sz w:val="44"/>
          <w:szCs w:val="44"/>
        </w:rPr>
      </w:pPr>
    </w:p>
    <w:p>
      <w:pPr>
        <w:jc w:val="center"/>
        <w:rPr>
          <w:rFonts w:ascii="宋体" w:hAnsi="宋体" w:eastAsia="宋体"/>
          <w:sz w:val="44"/>
          <w:szCs w:val="44"/>
        </w:rPr>
      </w:pPr>
    </w:p>
    <w:p>
      <w:pPr>
        <w:jc w:val="center"/>
        <w:rPr>
          <w:rFonts w:ascii="宋体" w:hAnsi="宋体" w:eastAsia="宋体"/>
          <w:sz w:val="44"/>
          <w:szCs w:val="44"/>
        </w:rPr>
      </w:pPr>
      <w:r>
        <w:rPr>
          <w:rFonts w:hint="eastAsia" w:ascii="宋体" w:hAnsi="宋体" w:eastAsia="宋体"/>
          <w:sz w:val="44"/>
          <w:szCs w:val="44"/>
        </w:rPr>
        <w:t>奈曼旗民族事务委员会</w:t>
      </w: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32"/>
          <w:szCs w:val="32"/>
        </w:rPr>
      </w:pPr>
      <w:r>
        <w:rPr>
          <w:rFonts w:hint="eastAsia" w:ascii="宋体" w:hAnsi="宋体" w:eastAsia="宋体"/>
          <w:sz w:val="32"/>
          <w:szCs w:val="32"/>
        </w:rPr>
        <w:t>目    录</w:t>
      </w:r>
    </w:p>
    <w:p>
      <w:pPr>
        <w:jc w:val="center"/>
        <w:rPr>
          <w:rFonts w:ascii="宋体" w:hAnsi="宋体" w:eastAsia="宋体"/>
          <w:sz w:val="24"/>
          <w:szCs w:val="24"/>
        </w:rPr>
      </w:pPr>
    </w:p>
    <w:p>
      <w:pPr>
        <w:jc w:val="center"/>
        <w:rPr>
          <w:rFonts w:ascii="宋体" w:hAnsi="宋体" w:eastAsia="宋体"/>
          <w:sz w:val="24"/>
          <w:szCs w:val="24"/>
          <w:highlight w:val="yellow"/>
        </w:rPr>
      </w:pPr>
    </w:p>
    <w:p>
      <w:pPr>
        <w:pStyle w:val="15"/>
        <w:tabs>
          <w:tab w:val="left" w:pos="1050"/>
          <w:tab w:val="right" w:leader="dot" w:pos="9346"/>
        </w:tabs>
        <w:rPr>
          <w:rFonts w:asciiTheme="minorHAnsi" w:hAnsiTheme="minorHAnsi" w:eastAsiaTheme="minorEastAsia" w:cstheme="minorBidi"/>
          <w:szCs w:val="22"/>
          <w:highlight w:val="none"/>
        </w:rPr>
      </w:pPr>
      <w:r>
        <w:rPr>
          <w:rFonts w:ascii="宋体" w:hAnsi="宋体"/>
          <w:sz w:val="24"/>
          <w:szCs w:val="24"/>
          <w:highlight w:val="none"/>
        </w:rPr>
        <w:fldChar w:fldCharType="begin"/>
      </w:r>
      <w:r>
        <w:rPr>
          <w:rFonts w:ascii="宋体" w:hAnsi="宋体"/>
          <w:sz w:val="24"/>
          <w:szCs w:val="24"/>
          <w:highlight w:val="none"/>
        </w:rPr>
        <w:instrText xml:space="preserve"> TOC \o "1-1" \h \z \u </w:instrText>
      </w:r>
      <w:r>
        <w:rPr>
          <w:rFonts w:ascii="宋体" w:hAnsi="宋体"/>
          <w:sz w:val="24"/>
          <w:szCs w:val="24"/>
          <w:highlight w:val="none"/>
        </w:rPr>
        <w:fldChar w:fldCharType="separate"/>
      </w:r>
      <w:r>
        <w:rPr>
          <w:highlight w:val="none"/>
        </w:rPr>
        <w:fldChar w:fldCharType="begin"/>
      </w:r>
      <w:r>
        <w:rPr>
          <w:highlight w:val="none"/>
        </w:rPr>
        <w:instrText xml:space="preserve"> HYPERLINK \l "_Toc533443304" </w:instrText>
      </w:r>
      <w:r>
        <w:rPr>
          <w:highlight w:val="none"/>
        </w:rPr>
        <w:fldChar w:fldCharType="separate"/>
      </w:r>
      <w:r>
        <w:rPr>
          <w:rStyle w:val="26"/>
          <w:rFonts w:hint="eastAsia" w:ascii="宋体" w:hAnsi="宋体"/>
          <w:b/>
          <w:highlight w:val="none"/>
        </w:rPr>
        <w:t>第一章</w:t>
      </w:r>
      <w:r>
        <w:rPr>
          <w:rFonts w:asciiTheme="minorHAnsi" w:hAnsiTheme="minorHAnsi" w:eastAsiaTheme="minorEastAsia" w:cstheme="minorBidi"/>
          <w:szCs w:val="22"/>
          <w:highlight w:val="none"/>
        </w:rPr>
        <w:tab/>
      </w:r>
      <w:r>
        <w:rPr>
          <w:rStyle w:val="26"/>
          <w:rFonts w:hint="eastAsia" w:ascii="宋体" w:hAnsi="宋体"/>
          <w:b/>
          <w:highlight w:val="none"/>
        </w:rPr>
        <w:t>编制依据</w:t>
      </w:r>
      <w:r>
        <w:rPr>
          <w:highlight w:val="none"/>
        </w:rPr>
        <w:tab/>
      </w:r>
      <w:r>
        <w:rPr>
          <w:highlight w:val="none"/>
        </w:rPr>
        <w:fldChar w:fldCharType="begin"/>
      </w:r>
      <w:r>
        <w:rPr>
          <w:highlight w:val="none"/>
        </w:rPr>
        <w:instrText xml:space="preserve"> PAGEREF _Toc533443304 \h </w:instrText>
      </w:r>
      <w:r>
        <w:rPr>
          <w:highlight w:val="none"/>
        </w:rPr>
        <w:fldChar w:fldCharType="separate"/>
      </w:r>
      <w:r>
        <w:rPr>
          <w:highlight w:val="none"/>
        </w:rPr>
        <w:t>1</w:t>
      </w:r>
      <w:r>
        <w:rPr>
          <w:highlight w:val="none"/>
        </w:rPr>
        <w:fldChar w:fldCharType="end"/>
      </w:r>
      <w:r>
        <w:rPr>
          <w:highlight w:val="none"/>
        </w:rPr>
        <w:fldChar w:fldCharType="end"/>
      </w:r>
    </w:p>
    <w:p>
      <w:pPr>
        <w:pStyle w:val="15"/>
        <w:tabs>
          <w:tab w:val="right" w:leader="dot" w:pos="934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"_Toc533443305" </w:instrText>
      </w:r>
      <w:r>
        <w:rPr>
          <w:highlight w:val="none"/>
        </w:rPr>
        <w:fldChar w:fldCharType="separate"/>
      </w:r>
      <w:r>
        <w:rPr>
          <w:rStyle w:val="26"/>
          <w:rFonts w:hint="eastAsia" w:ascii="宋体" w:hAnsi="宋体"/>
          <w:b/>
          <w:highlight w:val="none"/>
        </w:rPr>
        <w:t>第二章</w:t>
      </w:r>
      <w:r>
        <w:rPr>
          <w:rStyle w:val="26"/>
          <w:rFonts w:ascii="宋体" w:hAnsi="宋体"/>
          <w:b/>
          <w:highlight w:val="none"/>
        </w:rPr>
        <w:t xml:space="preserve">  </w:t>
      </w:r>
      <w:r>
        <w:rPr>
          <w:rStyle w:val="26"/>
          <w:rFonts w:hint="eastAsia" w:ascii="宋体" w:hAnsi="宋体"/>
          <w:b/>
          <w:highlight w:val="none"/>
        </w:rPr>
        <w:t>项目建设地点</w:t>
      </w:r>
      <w:r>
        <w:rPr>
          <w:highlight w:val="none"/>
        </w:rPr>
        <w:tab/>
      </w:r>
      <w:r>
        <w:rPr>
          <w:highlight w:val="none"/>
        </w:rPr>
        <w:fldChar w:fldCharType="begin"/>
      </w:r>
      <w:r>
        <w:rPr>
          <w:highlight w:val="none"/>
        </w:rPr>
        <w:instrText xml:space="preserve"> PAGEREF _Toc533443305 \h </w:instrText>
      </w:r>
      <w:r>
        <w:rPr>
          <w:highlight w:val="none"/>
        </w:rPr>
        <w:fldChar w:fldCharType="separate"/>
      </w:r>
      <w:r>
        <w:rPr>
          <w:highlight w:val="none"/>
        </w:rPr>
        <w:t>4</w:t>
      </w:r>
      <w:r>
        <w:rPr>
          <w:highlight w:val="none"/>
        </w:rPr>
        <w:fldChar w:fldCharType="end"/>
      </w:r>
      <w:r>
        <w:rPr>
          <w:highlight w:val="none"/>
        </w:rPr>
        <w:fldChar w:fldCharType="end"/>
      </w:r>
    </w:p>
    <w:p>
      <w:pPr>
        <w:pStyle w:val="15"/>
        <w:tabs>
          <w:tab w:val="right" w:leader="dot" w:pos="934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"_Toc533443306" </w:instrText>
      </w:r>
      <w:r>
        <w:rPr>
          <w:highlight w:val="none"/>
        </w:rPr>
        <w:fldChar w:fldCharType="separate"/>
      </w:r>
      <w:r>
        <w:rPr>
          <w:rStyle w:val="26"/>
          <w:rFonts w:hint="eastAsia" w:ascii="宋体" w:hAnsi="宋体"/>
          <w:b/>
          <w:highlight w:val="none"/>
        </w:rPr>
        <w:t>第三章</w:t>
      </w:r>
      <w:r>
        <w:rPr>
          <w:rStyle w:val="26"/>
          <w:rFonts w:ascii="宋体" w:hAnsi="宋体"/>
          <w:b/>
          <w:highlight w:val="none"/>
        </w:rPr>
        <w:t xml:space="preserve">  </w:t>
      </w:r>
      <w:r>
        <w:rPr>
          <w:rStyle w:val="26"/>
          <w:rFonts w:hint="eastAsia" w:ascii="宋体" w:hAnsi="宋体"/>
          <w:b/>
          <w:highlight w:val="none"/>
        </w:rPr>
        <w:t>项目建设规模及内容</w:t>
      </w:r>
      <w:r>
        <w:rPr>
          <w:highlight w:val="none"/>
        </w:rPr>
        <w:tab/>
      </w:r>
      <w:r>
        <w:rPr>
          <w:highlight w:val="none"/>
        </w:rPr>
        <w:fldChar w:fldCharType="begin"/>
      </w:r>
      <w:r>
        <w:rPr>
          <w:highlight w:val="none"/>
        </w:rPr>
        <w:instrText xml:space="preserve"> PAGEREF _Toc533443306 \h </w:instrText>
      </w:r>
      <w:r>
        <w:rPr>
          <w:highlight w:val="none"/>
        </w:rPr>
        <w:fldChar w:fldCharType="separate"/>
      </w:r>
      <w:r>
        <w:rPr>
          <w:highlight w:val="none"/>
        </w:rPr>
        <w:t>4</w:t>
      </w:r>
      <w:r>
        <w:rPr>
          <w:highlight w:val="none"/>
        </w:rPr>
        <w:fldChar w:fldCharType="end"/>
      </w:r>
      <w:r>
        <w:rPr>
          <w:highlight w:val="none"/>
        </w:rPr>
        <w:fldChar w:fldCharType="end"/>
      </w:r>
    </w:p>
    <w:p>
      <w:pPr>
        <w:pStyle w:val="15"/>
        <w:tabs>
          <w:tab w:val="right" w:leader="dot" w:pos="934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"_Toc533443307" </w:instrText>
      </w:r>
      <w:r>
        <w:rPr>
          <w:highlight w:val="none"/>
        </w:rPr>
        <w:fldChar w:fldCharType="separate"/>
      </w:r>
      <w:r>
        <w:rPr>
          <w:rStyle w:val="26"/>
          <w:rFonts w:hint="eastAsia" w:ascii="宋体" w:hAnsi="宋体"/>
          <w:b/>
          <w:highlight w:val="none"/>
        </w:rPr>
        <w:t>第四章</w:t>
      </w:r>
      <w:r>
        <w:rPr>
          <w:rStyle w:val="26"/>
          <w:rFonts w:ascii="宋体" w:hAnsi="宋体"/>
          <w:b/>
          <w:highlight w:val="none"/>
        </w:rPr>
        <w:t xml:space="preserve">  </w:t>
      </w:r>
      <w:r>
        <w:rPr>
          <w:rStyle w:val="26"/>
          <w:rFonts w:hint="eastAsia" w:ascii="宋体" w:hAnsi="宋体"/>
          <w:b/>
          <w:highlight w:val="none"/>
        </w:rPr>
        <w:t>工程设计及技术标准</w:t>
      </w:r>
      <w:r>
        <w:rPr>
          <w:highlight w:val="none"/>
        </w:rPr>
        <w:tab/>
      </w:r>
      <w:r>
        <w:rPr>
          <w:highlight w:val="none"/>
        </w:rPr>
        <w:fldChar w:fldCharType="begin"/>
      </w:r>
      <w:r>
        <w:rPr>
          <w:highlight w:val="none"/>
        </w:rPr>
        <w:instrText xml:space="preserve"> PAGEREF _Toc533443307 \h </w:instrText>
      </w:r>
      <w:r>
        <w:rPr>
          <w:highlight w:val="none"/>
        </w:rPr>
        <w:fldChar w:fldCharType="separate"/>
      </w:r>
      <w:r>
        <w:rPr>
          <w:highlight w:val="none"/>
        </w:rPr>
        <w:t>5</w:t>
      </w:r>
      <w:r>
        <w:rPr>
          <w:highlight w:val="none"/>
        </w:rPr>
        <w:fldChar w:fldCharType="end"/>
      </w:r>
      <w:r>
        <w:rPr>
          <w:highlight w:val="none"/>
        </w:rPr>
        <w:fldChar w:fldCharType="end"/>
      </w:r>
    </w:p>
    <w:p>
      <w:pPr>
        <w:pStyle w:val="15"/>
        <w:tabs>
          <w:tab w:val="right" w:leader="dot" w:pos="934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"_Toc533443308" </w:instrText>
      </w:r>
      <w:r>
        <w:rPr>
          <w:highlight w:val="none"/>
        </w:rPr>
        <w:fldChar w:fldCharType="separate"/>
      </w:r>
      <w:r>
        <w:rPr>
          <w:rStyle w:val="26"/>
          <w:rFonts w:hint="eastAsia" w:ascii="宋体" w:hAnsi="宋体"/>
          <w:b/>
          <w:highlight w:val="none"/>
        </w:rPr>
        <w:t>第五章</w:t>
      </w:r>
      <w:r>
        <w:rPr>
          <w:rStyle w:val="26"/>
          <w:rFonts w:ascii="宋体" w:hAnsi="宋体"/>
          <w:b/>
          <w:highlight w:val="none"/>
        </w:rPr>
        <w:t xml:space="preserve">  </w:t>
      </w:r>
      <w:r>
        <w:rPr>
          <w:rStyle w:val="26"/>
          <w:rFonts w:hint="eastAsia" w:ascii="宋体" w:hAnsi="宋体"/>
          <w:b/>
          <w:highlight w:val="none"/>
        </w:rPr>
        <w:t>工程概算及资金来源</w:t>
      </w:r>
      <w:r>
        <w:rPr>
          <w:highlight w:val="none"/>
        </w:rPr>
        <w:tab/>
      </w:r>
      <w:r>
        <w:rPr>
          <w:highlight w:val="none"/>
        </w:rPr>
        <w:fldChar w:fldCharType="begin"/>
      </w:r>
      <w:r>
        <w:rPr>
          <w:highlight w:val="none"/>
        </w:rPr>
        <w:instrText xml:space="preserve"> PAGEREF _Toc533443308 \h </w:instrText>
      </w:r>
      <w:r>
        <w:rPr>
          <w:highlight w:val="none"/>
        </w:rPr>
        <w:fldChar w:fldCharType="separate"/>
      </w:r>
      <w:r>
        <w:rPr>
          <w:highlight w:val="none"/>
        </w:rPr>
        <w:t>6</w:t>
      </w:r>
      <w:r>
        <w:rPr>
          <w:highlight w:val="none"/>
        </w:rPr>
        <w:fldChar w:fldCharType="end"/>
      </w:r>
      <w:r>
        <w:rPr>
          <w:highlight w:val="none"/>
        </w:rPr>
        <w:fldChar w:fldCharType="end"/>
      </w:r>
    </w:p>
    <w:p>
      <w:pPr>
        <w:pStyle w:val="15"/>
        <w:tabs>
          <w:tab w:val="right" w:leader="dot" w:pos="934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"_Toc533443309" </w:instrText>
      </w:r>
      <w:r>
        <w:rPr>
          <w:highlight w:val="none"/>
        </w:rPr>
        <w:fldChar w:fldCharType="separate"/>
      </w:r>
      <w:r>
        <w:rPr>
          <w:rStyle w:val="26"/>
          <w:rFonts w:hint="eastAsia" w:ascii="宋体" w:hAnsi="宋体"/>
          <w:b/>
          <w:highlight w:val="none"/>
        </w:rPr>
        <w:t>第六章</w:t>
      </w:r>
      <w:r>
        <w:rPr>
          <w:rStyle w:val="26"/>
          <w:rFonts w:ascii="宋体" w:hAnsi="宋体"/>
          <w:b/>
          <w:highlight w:val="none"/>
        </w:rPr>
        <w:t xml:space="preserve">  </w:t>
      </w:r>
      <w:r>
        <w:rPr>
          <w:rStyle w:val="26"/>
          <w:rFonts w:hint="eastAsia" w:ascii="宋体" w:hAnsi="宋体"/>
          <w:b/>
          <w:highlight w:val="none"/>
        </w:rPr>
        <w:t>施工组织及质量管理</w:t>
      </w:r>
      <w:r>
        <w:rPr>
          <w:highlight w:val="none"/>
        </w:rPr>
        <w:tab/>
      </w:r>
      <w:r>
        <w:rPr>
          <w:highlight w:val="none"/>
        </w:rPr>
        <w:fldChar w:fldCharType="begin"/>
      </w:r>
      <w:r>
        <w:rPr>
          <w:highlight w:val="none"/>
        </w:rPr>
        <w:instrText xml:space="preserve"> PAGEREF _Toc533443309 \h </w:instrText>
      </w:r>
      <w:r>
        <w:rPr>
          <w:highlight w:val="none"/>
        </w:rPr>
        <w:fldChar w:fldCharType="separate"/>
      </w:r>
      <w:r>
        <w:rPr>
          <w:highlight w:val="none"/>
        </w:rPr>
        <w:t>7</w:t>
      </w:r>
      <w:r>
        <w:rPr>
          <w:highlight w:val="none"/>
        </w:rPr>
        <w:fldChar w:fldCharType="end"/>
      </w:r>
      <w:r>
        <w:rPr>
          <w:highlight w:val="none"/>
        </w:rPr>
        <w:fldChar w:fldCharType="end"/>
      </w:r>
    </w:p>
    <w:p>
      <w:pPr>
        <w:pStyle w:val="15"/>
        <w:tabs>
          <w:tab w:val="right" w:leader="dot" w:pos="934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"_Toc533443310" </w:instrText>
      </w:r>
      <w:r>
        <w:rPr>
          <w:highlight w:val="none"/>
        </w:rPr>
        <w:fldChar w:fldCharType="separate"/>
      </w:r>
      <w:r>
        <w:rPr>
          <w:rStyle w:val="26"/>
          <w:rFonts w:hint="eastAsia" w:ascii="宋体" w:hAnsi="宋体"/>
          <w:b/>
          <w:highlight w:val="none"/>
        </w:rPr>
        <w:t>第七章</w:t>
      </w:r>
      <w:r>
        <w:rPr>
          <w:rStyle w:val="26"/>
          <w:rFonts w:ascii="宋体" w:hAnsi="宋体"/>
          <w:b/>
          <w:highlight w:val="none"/>
        </w:rPr>
        <w:t xml:space="preserve">  </w:t>
      </w:r>
      <w:r>
        <w:rPr>
          <w:rStyle w:val="26"/>
          <w:rFonts w:hint="eastAsia" w:ascii="宋体" w:hAnsi="宋体"/>
          <w:b/>
          <w:highlight w:val="none"/>
        </w:rPr>
        <w:t>工期安排</w:t>
      </w:r>
      <w:r>
        <w:rPr>
          <w:highlight w:val="none"/>
        </w:rPr>
        <w:tab/>
      </w:r>
      <w:r>
        <w:rPr>
          <w:highlight w:val="none"/>
        </w:rPr>
        <w:fldChar w:fldCharType="begin"/>
      </w:r>
      <w:r>
        <w:rPr>
          <w:highlight w:val="none"/>
        </w:rPr>
        <w:instrText xml:space="preserve"> PAGEREF _Toc533443310 \h </w:instrText>
      </w:r>
      <w:r>
        <w:rPr>
          <w:highlight w:val="none"/>
        </w:rPr>
        <w:fldChar w:fldCharType="separate"/>
      </w:r>
      <w:r>
        <w:rPr>
          <w:highlight w:val="none"/>
        </w:rPr>
        <w:t>12</w:t>
      </w:r>
      <w:r>
        <w:rPr>
          <w:highlight w:val="none"/>
        </w:rPr>
        <w:fldChar w:fldCharType="end"/>
      </w:r>
      <w:r>
        <w:rPr>
          <w:highlight w:val="none"/>
        </w:rPr>
        <w:fldChar w:fldCharType="end"/>
      </w:r>
    </w:p>
    <w:p>
      <w:pPr>
        <w:pStyle w:val="15"/>
        <w:tabs>
          <w:tab w:val="right" w:leader="dot" w:pos="934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"_Toc533443311" </w:instrText>
      </w:r>
      <w:r>
        <w:rPr>
          <w:highlight w:val="none"/>
        </w:rPr>
        <w:fldChar w:fldCharType="separate"/>
      </w:r>
      <w:r>
        <w:rPr>
          <w:rStyle w:val="26"/>
          <w:rFonts w:hint="eastAsia" w:ascii="宋体" w:hAnsi="宋体"/>
          <w:b/>
          <w:highlight w:val="none"/>
        </w:rPr>
        <w:t>第八章</w:t>
      </w:r>
      <w:r>
        <w:rPr>
          <w:rStyle w:val="26"/>
          <w:rFonts w:ascii="宋体" w:hAnsi="宋体"/>
          <w:b/>
          <w:highlight w:val="none"/>
        </w:rPr>
        <w:t xml:space="preserve">  </w:t>
      </w:r>
      <w:r>
        <w:rPr>
          <w:rStyle w:val="26"/>
          <w:rFonts w:hint="eastAsia" w:ascii="宋体" w:hAnsi="宋体"/>
          <w:b/>
          <w:highlight w:val="none"/>
        </w:rPr>
        <w:t>项目资金管理</w:t>
      </w:r>
      <w:r>
        <w:rPr>
          <w:highlight w:val="none"/>
        </w:rPr>
        <w:tab/>
      </w:r>
      <w:r>
        <w:rPr>
          <w:highlight w:val="none"/>
        </w:rPr>
        <w:fldChar w:fldCharType="begin"/>
      </w:r>
      <w:r>
        <w:rPr>
          <w:highlight w:val="none"/>
        </w:rPr>
        <w:instrText xml:space="preserve"> PAGEREF _Toc533443311 \h </w:instrText>
      </w:r>
      <w:r>
        <w:rPr>
          <w:highlight w:val="none"/>
        </w:rPr>
        <w:fldChar w:fldCharType="separate"/>
      </w:r>
      <w:r>
        <w:rPr>
          <w:highlight w:val="none"/>
        </w:rPr>
        <w:t>13</w:t>
      </w:r>
      <w:r>
        <w:rPr>
          <w:highlight w:val="none"/>
        </w:rPr>
        <w:fldChar w:fldCharType="end"/>
      </w:r>
      <w:r>
        <w:rPr>
          <w:highlight w:val="none"/>
        </w:rPr>
        <w:fldChar w:fldCharType="end"/>
      </w:r>
    </w:p>
    <w:p>
      <w:pPr>
        <w:pStyle w:val="15"/>
        <w:tabs>
          <w:tab w:val="right" w:leader="dot" w:pos="934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"_Toc533443312" </w:instrText>
      </w:r>
      <w:r>
        <w:rPr>
          <w:highlight w:val="none"/>
        </w:rPr>
        <w:fldChar w:fldCharType="separate"/>
      </w:r>
      <w:r>
        <w:rPr>
          <w:rStyle w:val="26"/>
          <w:rFonts w:hint="eastAsia" w:ascii="宋体" w:hAnsi="宋体"/>
          <w:b/>
          <w:highlight w:val="none"/>
        </w:rPr>
        <w:t>第九章</w:t>
      </w:r>
      <w:r>
        <w:rPr>
          <w:rStyle w:val="26"/>
          <w:rFonts w:ascii="宋体" w:hAnsi="宋体"/>
          <w:b/>
          <w:highlight w:val="none"/>
        </w:rPr>
        <w:t xml:space="preserve">  </w:t>
      </w:r>
      <w:r>
        <w:rPr>
          <w:rStyle w:val="26"/>
          <w:rFonts w:hint="eastAsia" w:ascii="宋体" w:hAnsi="宋体"/>
          <w:b/>
          <w:highlight w:val="none"/>
        </w:rPr>
        <w:t>工程效益</w:t>
      </w:r>
      <w:r>
        <w:rPr>
          <w:highlight w:val="none"/>
        </w:rPr>
        <w:tab/>
      </w:r>
      <w:r>
        <w:rPr>
          <w:highlight w:val="none"/>
        </w:rPr>
        <w:fldChar w:fldCharType="begin"/>
      </w:r>
      <w:r>
        <w:rPr>
          <w:highlight w:val="none"/>
        </w:rPr>
        <w:instrText xml:space="preserve"> PAGEREF _Toc533443312 \h </w:instrText>
      </w:r>
      <w:r>
        <w:rPr>
          <w:highlight w:val="none"/>
        </w:rPr>
        <w:fldChar w:fldCharType="separate"/>
      </w:r>
      <w:r>
        <w:rPr>
          <w:highlight w:val="none"/>
        </w:rPr>
        <w:t>13</w:t>
      </w:r>
      <w:r>
        <w:rPr>
          <w:highlight w:val="none"/>
        </w:rPr>
        <w:fldChar w:fldCharType="end"/>
      </w:r>
      <w:r>
        <w:rPr>
          <w:highlight w:val="none"/>
        </w:rPr>
        <w:fldChar w:fldCharType="end"/>
      </w:r>
    </w:p>
    <w:p>
      <w:pPr>
        <w:pStyle w:val="15"/>
        <w:tabs>
          <w:tab w:val="right" w:leader="dot" w:pos="934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"_Toc533443313" </w:instrText>
      </w:r>
      <w:r>
        <w:rPr>
          <w:highlight w:val="none"/>
        </w:rPr>
        <w:fldChar w:fldCharType="separate"/>
      </w:r>
      <w:r>
        <w:rPr>
          <w:rStyle w:val="26"/>
          <w:rFonts w:hint="eastAsia" w:ascii="宋体" w:hAnsi="宋体"/>
          <w:b/>
          <w:highlight w:val="none"/>
        </w:rPr>
        <w:t>第十章</w:t>
      </w:r>
      <w:r>
        <w:rPr>
          <w:rStyle w:val="26"/>
          <w:rFonts w:ascii="宋体" w:hAnsi="宋体"/>
          <w:b/>
          <w:highlight w:val="none"/>
        </w:rPr>
        <w:t xml:space="preserve">  </w:t>
      </w:r>
      <w:r>
        <w:rPr>
          <w:rStyle w:val="26"/>
          <w:rFonts w:hint="eastAsia" w:ascii="宋体" w:hAnsi="宋体"/>
          <w:b/>
          <w:highlight w:val="none"/>
        </w:rPr>
        <w:t>工程后期管护措施</w:t>
      </w:r>
      <w:r>
        <w:rPr>
          <w:highlight w:val="none"/>
        </w:rPr>
        <w:tab/>
      </w:r>
      <w:r>
        <w:rPr>
          <w:highlight w:val="none"/>
        </w:rPr>
        <w:fldChar w:fldCharType="begin"/>
      </w:r>
      <w:r>
        <w:rPr>
          <w:highlight w:val="none"/>
        </w:rPr>
        <w:instrText xml:space="preserve"> PAGEREF _Toc533443313 \h </w:instrText>
      </w:r>
      <w:r>
        <w:rPr>
          <w:highlight w:val="none"/>
        </w:rPr>
        <w:fldChar w:fldCharType="separate"/>
      </w:r>
      <w:r>
        <w:rPr>
          <w:highlight w:val="none"/>
        </w:rPr>
        <w:t>14</w:t>
      </w:r>
      <w:r>
        <w:rPr>
          <w:highlight w:val="none"/>
        </w:rPr>
        <w:fldChar w:fldCharType="end"/>
      </w:r>
      <w:r>
        <w:rPr>
          <w:highlight w:val="none"/>
        </w:rPr>
        <w:fldChar w:fldCharType="end"/>
      </w:r>
    </w:p>
    <w:p>
      <w:pPr>
        <w:jc w:val="center"/>
        <w:rPr>
          <w:rFonts w:ascii="宋体" w:hAnsi="宋体" w:eastAsia="宋体"/>
          <w:sz w:val="24"/>
          <w:szCs w:val="24"/>
          <w:highlight w:val="none"/>
        </w:rPr>
      </w:pPr>
      <w:r>
        <w:rPr>
          <w:rFonts w:ascii="宋体" w:hAnsi="宋体" w:eastAsia="宋体"/>
          <w:sz w:val="24"/>
          <w:szCs w:val="24"/>
          <w:highlight w:val="none"/>
        </w:rPr>
        <w:fldChar w:fldCharType="end"/>
      </w:r>
    </w:p>
    <w:p>
      <w:pPr>
        <w:jc w:val="center"/>
        <w:rPr>
          <w:rFonts w:ascii="宋体" w:hAnsi="宋体" w:eastAsia="宋体"/>
          <w:sz w:val="24"/>
          <w:szCs w:val="24"/>
          <w:highlight w:val="yellow"/>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32"/>
          <w:szCs w:val="32"/>
        </w:rPr>
        <w:sectPr>
          <w:footerReference r:id="rId3" w:type="default"/>
          <w:pgSz w:w="11906" w:h="16838"/>
          <w:pgMar w:top="1440" w:right="1274" w:bottom="1440" w:left="1276" w:header="851" w:footer="992" w:gutter="0"/>
          <w:pgNumType w:start="1"/>
          <w:cols w:space="425" w:num="1"/>
          <w:docGrid w:type="lines" w:linePitch="312" w:charSpace="0"/>
        </w:sectPr>
      </w:pPr>
    </w:p>
    <w:p>
      <w:pPr>
        <w:jc w:val="center"/>
        <w:rPr>
          <w:rFonts w:ascii="宋体" w:hAnsi="宋体" w:eastAsia="宋体"/>
          <w:sz w:val="32"/>
          <w:szCs w:val="32"/>
        </w:rPr>
      </w:pPr>
      <w:r>
        <w:rPr>
          <w:rFonts w:hint="eastAsia" w:ascii="宋体" w:hAnsi="宋体" w:eastAsia="宋体"/>
          <w:sz w:val="32"/>
          <w:szCs w:val="32"/>
          <w:lang w:eastAsia="zh-CN"/>
        </w:rPr>
        <w:t>治安镇西呼拉斯台嘎查农田电力设施配套项目</w:t>
      </w:r>
    </w:p>
    <w:p>
      <w:pPr>
        <w:spacing w:line="540" w:lineRule="exact"/>
        <w:rPr>
          <w:rFonts w:ascii="宋体" w:hAnsi="宋体" w:eastAsia="宋体"/>
          <w:b/>
          <w:sz w:val="24"/>
          <w:szCs w:val="24"/>
        </w:rPr>
      </w:pPr>
      <w:r>
        <w:rPr>
          <w:rFonts w:hint="eastAsia" w:ascii="宋体" w:hAnsi="宋体" w:eastAsia="宋体"/>
          <w:b/>
          <w:sz w:val="24"/>
          <w:szCs w:val="24"/>
        </w:rPr>
        <w:t>项目建设立项背景情况</w:t>
      </w:r>
    </w:p>
    <w:p>
      <w:pPr>
        <w:spacing w:line="540" w:lineRule="exact"/>
        <w:ind w:firstLine="480" w:firstLineChars="200"/>
        <w:rPr>
          <w:rFonts w:ascii="宋体" w:hAnsi="宋体" w:eastAsia="宋体"/>
          <w:sz w:val="24"/>
          <w:szCs w:val="24"/>
        </w:rPr>
      </w:pPr>
      <w:r>
        <w:rPr>
          <w:rFonts w:hint="eastAsia" w:ascii="宋体" w:hAnsi="宋体" w:eastAsia="宋体"/>
          <w:color w:val="000000"/>
          <w:sz w:val="24"/>
          <w:szCs w:val="24"/>
        </w:rPr>
        <w:t>奈曼旗属于温带大陆性半干旱季风气候，降雨量少，旱灾是主要的自然灾害，成为项目区内农牧业生产发展的主要制约因素。奈曼旗地形地貌跨山、沙、平原三种类型，农业用地地类分黄土、砾土、黑土、沙壤土不等，这种特殊的地质条件要求有不同的农业生产作业方式与之相适应。南部山区耕地在浅丘陵带，坡耕地所占比例为90%以上，对农业生产作业方式要求苛刻，农业基础设施薄弱，现有灌溉水源仅为浅层地下水及少量径流水，水浇地面积少，农业生产条件差；中部沙区农业用地均为沙壤土，灌溉方式采用传统的大水漫灌方式，渗漏量大，农业灌溉用水浪费严重；北部平原区最适宜农业耕种，但灌溉用水大部分用土渠输送，加之田间工程不配套，农业灌溉水利用系数仅为0.55左右，水利用系数低。所以项目区内这种特殊的气候和地质条件对农业生产发展的影响，迫切需要加强农田水利设施建设，并要求在基本农田水利项目建设中，要因地制宜，科学合理安排建设内容及规模。奈曼旗是国家确定的优质粮食主产区之一，通过基本农田水利设施建设，可以有效提高土地利用率，改善土地利用结构，增加粮食产量，使奈曼旗国贫旗的全国产粮大县的地位得以巩固和提高。</w:t>
      </w:r>
    </w:p>
    <w:p>
      <w:pPr>
        <w:pStyle w:val="2"/>
        <w:numPr>
          <w:ilvl w:val="0"/>
          <w:numId w:val="1"/>
        </w:numPr>
        <w:spacing w:line="540" w:lineRule="exact"/>
        <w:rPr>
          <w:rFonts w:ascii="宋体" w:hAnsi="宋体" w:eastAsia="宋体"/>
          <w:b/>
          <w:sz w:val="28"/>
          <w:szCs w:val="28"/>
        </w:rPr>
      </w:pPr>
      <w:bookmarkStart w:id="0" w:name="_Toc533443304"/>
      <w:r>
        <w:rPr>
          <w:rFonts w:hint="eastAsia" w:ascii="宋体" w:hAnsi="宋体" w:eastAsia="宋体"/>
          <w:b/>
          <w:sz w:val="28"/>
          <w:szCs w:val="28"/>
        </w:rPr>
        <w:t>编制依据</w:t>
      </w:r>
      <w:bookmarkEnd w:id="0"/>
      <w:bookmarkStart w:id="1" w:name="_Toc325357915"/>
      <w:bookmarkStart w:id="2" w:name="_Toc325382013"/>
      <w:bookmarkStart w:id="3" w:name="_Toc328124274"/>
    </w:p>
    <w:bookmarkEnd w:id="1"/>
    <w:bookmarkEnd w:id="2"/>
    <w:bookmarkEnd w:id="3"/>
    <w:p>
      <w:pPr>
        <w:pStyle w:val="3"/>
        <w:keepNext w:val="0"/>
        <w:keepLines w:val="0"/>
        <w:spacing w:before="0" w:after="0" w:line="540" w:lineRule="exact"/>
        <w:rPr>
          <w:rFonts w:ascii="宋体" w:hAnsi="宋体" w:eastAsia="宋体"/>
          <w:sz w:val="24"/>
          <w:szCs w:val="24"/>
        </w:rPr>
      </w:pPr>
      <w:bookmarkStart w:id="4" w:name="_Toc328124275"/>
      <w:bookmarkStart w:id="5" w:name="_Toc320104337"/>
      <w:bookmarkStart w:id="6" w:name="_Toc325357916"/>
      <w:bookmarkStart w:id="7" w:name="_Toc325382014"/>
      <w:r>
        <w:rPr>
          <w:rFonts w:hint="eastAsia" w:ascii="宋体" w:hAnsi="宋体" w:eastAsia="宋体"/>
          <w:sz w:val="24"/>
          <w:szCs w:val="24"/>
        </w:rPr>
        <w:t>1.工程概况</w:t>
      </w:r>
    </w:p>
    <w:p>
      <w:pPr>
        <w:pStyle w:val="3"/>
        <w:keepNext w:val="0"/>
        <w:keepLines w:val="0"/>
        <w:spacing w:before="0" w:after="0" w:line="540" w:lineRule="exact"/>
        <w:rPr>
          <w:rFonts w:ascii="宋体" w:hAnsi="宋体" w:eastAsia="宋体"/>
          <w:sz w:val="24"/>
          <w:szCs w:val="24"/>
        </w:rPr>
      </w:pPr>
      <w:r>
        <w:rPr>
          <w:rFonts w:hint="eastAsia" w:ascii="宋体" w:hAnsi="宋体" w:eastAsia="宋体"/>
          <w:sz w:val="24"/>
          <w:szCs w:val="24"/>
        </w:rPr>
        <w:t>1.1 自然概况</w:t>
      </w:r>
      <w:bookmarkEnd w:id="4"/>
      <w:bookmarkEnd w:id="5"/>
      <w:bookmarkEnd w:id="6"/>
      <w:bookmarkEnd w:id="7"/>
    </w:p>
    <w:p>
      <w:pPr>
        <w:spacing w:line="540" w:lineRule="exact"/>
        <w:rPr>
          <w:rFonts w:ascii="宋体" w:hAnsi="宋体" w:eastAsia="宋体"/>
          <w:b/>
          <w:sz w:val="24"/>
          <w:szCs w:val="24"/>
        </w:rPr>
      </w:pPr>
      <w:r>
        <w:rPr>
          <w:rFonts w:hint="eastAsia" w:ascii="宋体" w:hAnsi="宋体" w:eastAsia="宋体"/>
          <w:b/>
          <w:sz w:val="24"/>
          <w:szCs w:val="24"/>
        </w:rPr>
        <w:t>1.1.1地理位置与范围</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奈曼旗位于内蒙古通辽市西南部，科尔沁沙地南缘。地理坐标东经120º57′37〞～121º09′45〞，北纬43º07′15〞～43º43′26〞。南与辽宁省阜新市和北票市毗邻，东与库伦旗连边，西与赤峰市敖汉旗和翁牛特旗接壤，北与开鲁县隔河相望。全境东西宽68km，南北长140km，总土地面积8120km。总体呈现出“南山中沙北平原”地貌特性。</w:t>
      </w:r>
    </w:p>
    <w:p>
      <w:pPr>
        <w:spacing w:line="540" w:lineRule="exact"/>
        <w:rPr>
          <w:rFonts w:ascii="宋体" w:hAnsi="宋体" w:eastAsia="宋体"/>
          <w:b/>
          <w:sz w:val="24"/>
          <w:szCs w:val="24"/>
        </w:rPr>
      </w:pPr>
      <w:bookmarkStart w:id="8" w:name="_Toc237143757"/>
      <w:r>
        <w:rPr>
          <w:rFonts w:hint="eastAsia" w:ascii="宋体" w:hAnsi="宋体" w:eastAsia="宋体"/>
          <w:b/>
          <w:sz w:val="24"/>
          <w:szCs w:val="24"/>
        </w:rPr>
        <w:t>1.1.2地形地貌</w:t>
      </w:r>
      <w:bookmarkEnd w:id="8"/>
    </w:p>
    <w:p>
      <w:pPr>
        <w:spacing w:line="540" w:lineRule="exact"/>
        <w:ind w:firstLine="480" w:firstLineChars="200"/>
        <w:rPr>
          <w:rFonts w:ascii="宋体" w:hAnsi="宋体" w:eastAsia="宋体"/>
          <w:sz w:val="24"/>
          <w:szCs w:val="24"/>
        </w:rPr>
      </w:pPr>
      <w:r>
        <w:rPr>
          <w:rFonts w:hint="eastAsia" w:ascii="宋体" w:hAnsi="宋体" w:eastAsia="宋体"/>
          <w:sz w:val="24"/>
          <w:szCs w:val="24"/>
        </w:rPr>
        <w:t>奈曼旗位于辽西山地北部和西辽河平原南端，地势由西南向东北逐渐倾斜，西南高，东北低，一般海拔高度为250～570米。最高点老道山西南峰794.5米，最低点在六叼村东南孤树附近为226.6米。南部缓慢上升，以构造剥蚀为主，中间地带以剥蚀堆积为主，北部为缓慢下降带，以堆积为主。地貌形成表现为由南向北从构造山地—剥蚀风积倾斜平原—风积冲积波状平原与风积冲积河谷平原的变化规律。从整个地貌及所占面积，一般称之为“南山中沙北河川，两山六沙二平原”。而南部低山丘陵区地形起伏较大，沟谷较多，有大于1000米长沟667条，相对大中山头186座。</w:t>
      </w:r>
    </w:p>
    <w:p>
      <w:pPr>
        <w:spacing w:line="540" w:lineRule="exact"/>
        <w:rPr>
          <w:rFonts w:ascii="宋体" w:hAnsi="宋体" w:eastAsia="宋体"/>
          <w:b/>
          <w:sz w:val="24"/>
          <w:szCs w:val="24"/>
        </w:rPr>
      </w:pPr>
      <w:r>
        <w:rPr>
          <w:rFonts w:hint="eastAsia" w:ascii="宋体" w:hAnsi="宋体" w:eastAsia="宋体"/>
          <w:b/>
          <w:sz w:val="24"/>
          <w:szCs w:val="24"/>
        </w:rPr>
        <w:t>1.1.3气象</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项目区属于温带大陆性半干旱季风气候，四季分明；春季干旱多风，夏季温热，降雨集中，秋季少雨凉爽，冬季漫长干冷。</w:t>
      </w:r>
    </w:p>
    <w:p>
      <w:pPr>
        <w:spacing w:line="540" w:lineRule="exact"/>
        <w:rPr>
          <w:rFonts w:ascii="宋体" w:hAnsi="宋体" w:eastAsia="宋体"/>
          <w:sz w:val="24"/>
          <w:szCs w:val="24"/>
        </w:rPr>
      </w:pPr>
      <w:r>
        <w:rPr>
          <w:rFonts w:hint="eastAsia" w:ascii="宋体" w:hAnsi="宋体" w:eastAsia="宋体"/>
          <w:sz w:val="24"/>
          <w:szCs w:val="24"/>
        </w:rPr>
        <w:t>1、降 水</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项目区多年平均降雨量342.14mm，年内分配极不均匀，主要集中在6～8月份，占全年总降雨量的70%。春秋冬三季降水少，占全年降水30%左右，春旱频率60%以上，秋旱频率达到55%。</w:t>
      </w:r>
    </w:p>
    <w:p>
      <w:pPr>
        <w:spacing w:line="540" w:lineRule="exact"/>
        <w:rPr>
          <w:rFonts w:ascii="宋体" w:hAnsi="宋体" w:eastAsia="宋体"/>
          <w:sz w:val="24"/>
          <w:szCs w:val="24"/>
        </w:rPr>
      </w:pPr>
      <w:r>
        <w:rPr>
          <w:rFonts w:hint="eastAsia" w:ascii="宋体" w:hAnsi="宋体" w:eastAsia="宋体"/>
          <w:sz w:val="24"/>
          <w:szCs w:val="24"/>
        </w:rPr>
        <w:t>2、湿度和蒸发</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多年平均相对湿度在42%，多年平均湿润度0.2628，项目区水分短缺，为半干旱区。年平均水面蒸发量为1774.2mm（20型）。5、6月份蒸发量最大，分别占全年蒸发量的16.3%和14.3%，1月份蒸发量最小，占全年蒸发量的1.7%。</w:t>
      </w:r>
    </w:p>
    <w:p>
      <w:pPr>
        <w:spacing w:line="540" w:lineRule="exact"/>
        <w:rPr>
          <w:rFonts w:ascii="宋体" w:hAnsi="宋体" w:eastAsia="宋体"/>
          <w:sz w:val="24"/>
          <w:szCs w:val="24"/>
        </w:rPr>
      </w:pPr>
      <w:r>
        <w:rPr>
          <w:rFonts w:hint="eastAsia" w:ascii="宋体" w:hAnsi="宋体" w:eastAsia="宋体"/>
          <w:sz w:val="24"/>
          <w:szCs w:val="24"/>
        </w:rPr>
        <w:t>3、气 温</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 xml:space="preserve">项目区多年平均气温6.1℃，≥10℃积温多年平均为3161℃，七月份最热，一月份最冷，无霜期147天，最大冻土深1.7米。 </w:t>
      </w:r>
    </w:p>
    <w:p>
      <w:pPr>
        <w:spacing w:line="540" w:lineRule="exact"/>
        <w:rPr>
          <w:rFonts w:ascii="宋体" w:hAnsi="宋体" w:eastAsia="宋体"/>
          <w:sz w:val="24"/>
          <w:szCs w:val="24"/>
        </w:rPr>
      </w:pPr>
      <w:r>
        <w:rPr>
          <w:rFonts w:hint="eastAsia" w:ascii="宋体" w:hAnsi="宋体" w:eastAsia="宋体"/>
          <w:sz w:val="24"/>
          <w:szCs w:val="24"/>
        </w:rPr>
        <w:t>4、日照与辐射量</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该区内光能资源充足，年平均日照2952小时，年太阳总辐射122千卡/平方厘米。</w:t>
      </w:r>
    </w:p>
    <w:p>
      <w:pPr>
        <w:spacing w:line="540" w:lineRule="exact"/>
        <w:rPr>
          <w:rFonts w:ascii="宋体" w:hAnsi="宋体" w:eastAsia="宋体"/>
          <w:sz w:val="24"/>
          <w:szCs w:val="24"/>
        </w:rPr>
      </w:pPr>
      <w:r>
        <w:rPr>
          <w:rFonts w:hint="eastAsia" w:ascii="宋体" w:hAnsi="宋体" w:eastAsia="宋体"/>
          <w:sz w:val="24"/>
          <w:szCs w:val="24"/>
        </w:rPr>
        <w:t>5、风</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年平均风速3.8m/s，主风向为偏西或偏北，春夏季风大，冬秋季风速在春夏季之间。3～5月风速最大，平均风速均在4.0 m/s以上。全年大风、扬沙日多达36天，最大风速可达31.0m/s。</w:t>
      </w:r>
    </w:p>
    <w:p>
      <w:pPr>
        <w:spacing w:line="540" w:lineRule="exact"/>
        <w:rPr>
          <w:rFonts w:ascii="宋体" w:hAnsi="宋体" w:eastAsia="宋体"/>
          <w:sz w:val="24"/>
          <w:szCs w:val="24"/>
        </w:rPr>
      </w:pPr>
      <w:r>
        <w:rPr>
          <w:rFonts w:hint="eastAsia" w:ascii="宋体" w:hAnsi="宋体" w:eastAsia="宋体"/>
          <w:sz w:val="24"/>
          <w:szCs w:val="24"/>
        </w:rPr>
        <w:t>1.1.4河流水系</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 xml:space="preserve">奈曼旗全旗共有6条河流。北部有老哈河、西辽河、中部有教来河、杜贵河，南部有牤牛河、柳河。     </w:t>
      </w:r>
    </w:p>
    <w:p>
      <w:pPr>
        <w:spacing w:line="540" w:lineRule="exact"/>
        <w:rPr>
          <w:rFonts w:ascii="宋体" w:hAnsi="宋体" w:eastAsia="宋体"/>
          <w:sz w:val="24"/>
          <w:szCs w:val="24"/>
        </w:rPr>
      </w:pPr>
      <w:r>
        <w:rPr>
          <w:rFonts w:hint="eastAsia" w:ascii="宋体" w:hAnsi="宋体" w:eastAsia="宋体"/>
          <w:sz w:val="24"/>
          <w:szCs w:val="24"/>
        </w:rPr>
        <w:t>奈曼旗境内主要河流特征一览表</w:t>
      </w:r>
    </w:p>
    <w:tbl>
      <w:tblPr>
        <w:tblStyle w:val="17"/>
        <w:tblW w:w="830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97"/>
        <w:gridCol w:w="2236"/>
        <w:gridCol w:w="2237"/>
        <w:gridCol w:w="22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名称</w:t>
            </w:r>
          </w:p>
        </w:tc>
        <w:tc>
          <w:tcPr>
            <w:tcW w:w="2236"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河流性质</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境内长(km)</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境内流域面积(km2)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老哈河</w:t>
            </w:r>
          </w:p>
        </w:tc>
        <w:tc>
          <w:tcPr>
            <w:tcW w:w="2236"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过境河流</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66</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1837.7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西辽河</w:t>
            </w:r>
          </w:p>
        </w:tc>
        <w:tc>
          <w:tcPr>
            <w:tcW w:w="2236"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过境河流</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60.3</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1136.6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教来河</w:t>
            </w:r>
          </w:p>
        </w:tc>
        <w:tc>
          <w:tcPr>
            <w:tcW w:w="2236"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过境河流</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185.3</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3688.6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杜贵河</w:t>
            </w:r>
          </w:p>
        </w:tc>
        <w:tc>
          <w:tcPr>
            <w:tcW w:w="2236"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自产水河流</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38.9</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130.0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牤牛河</w:t>
            </w:r>
          </w:p>
        </w:tc>
        <w:tc>
          <w:tcPr>
            <w:tcW w:w="2236"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自产水河流</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68.6</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1227.3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柳河</w:t>
            </w:r>
          </w:p>
        </w:tc>
        <w:tc>
          <w:tcPr>
            <w:tcW w:w="2236"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自产水河流</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25.2</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117.4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合计</w:t>
            </w:r>
          </w:p>
        </w:tc>
        <w:tc>
          <w:tcPr>
            <w:tcW w:w="2236" w:type="dxa"/>
            <w:vAlign w:val="center"/>
          </w:tcPr>
          <w:p>
            <w:pPr>
              <w:spacing w:line="540" w:lineRule="exact"/>
              <w:jc w:val="center"/>
              <w:rPr>
                <w:rFonts w:ascii="宋体" w:hAnsi="宋体" w:eastAsia="宋体"/>
                <w:sz w:val="24"/>
                <w:szCs w:val="24"/>
              </w:rPr>
            </w:pP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444.3</w:t>
            </w:r>
          </w:p>
        </w:tc>
        <w:tc>
          <w:tcPr>
            <w:tcW w:w="223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8137.6</w:t>
            </w:r>
          </w:p>
        </w:tc>
      </w:tr>
    </w:tbl>
    <w:p>
      <w:pPr>
        <w:spacing w:line="540" w:lineRule="exact"/>
        <w:ind w:firstLine="480" w:firstLineChars="200"/>
        <w:rPr>
          <w:rFonts w:ascii="宋体" w:hAnsi="宋体" w:eastAsia="宋体"/>
          <w:sz w:val="24"/>
          <w:szCs w:val="24"/>
        </w:rPr>
      </w:pPr>
      <w:r>
        <w:rPr>
          <w:rFonts w:hint="eastAsia" w:ascii="宋体" w:hAnsi="宋体" w:eastAsia="宋体"/>
          <w:sz w:val="24"/>
          <w:szCs w:val="24"/>
        </w:rPr>
        <w:t>根据内蒙古自治区各河流水量分配方案奈曼旗地表水资源总量为1.45亿m3。奈曼旗平原区地下水资源量为59491万m3，可开采量为30004万m3，山丘区地下水资源量为3696万m3，可开采量为2435万m3。平原区地下水资源主要分布在教来河流域和辽河流域的冲积平原，第四系松散层厚100-180m，补给来源充沛，贮量丰富。上部为粉细沙含水量，中部为细沙含水层，下部为砂砾石含水层。单井日涌水量1500-3000吨。南部山区含水层为碎屑岩类的孔隙裂隙潜水、孔隙裂隙承压水、碳酸岩类孔隙溶洞水和基岩裂隙水。奈曼旗水资源总量为6.75亿m3，其中地表水资源量为1.45亿m3，地下水资源量为5.95亿m3，重复计算水量为0.65亿m3。</w:t>
      </w:r>
    </w:p>
    <w:p>
      <w:pPr>
        <w:spacing w:line="540" w:lineRule="exact"/>
        <w:ind w:firstLine="480" w:firstLineChars="200"/>
        <w:rPr>
          <w:rFonts w:ascii="宋体" w:hAnsi="宋体" w:eastAsia="宋体"/>
          <w:sz w:val="24"/>
          <w:szCs w:val="24"/>
        </w:rPr>
      </w:pPr>
    </w:p>
    <w:p>
      <w:pPr>
        <w:spacing w:line="540" w:lineRule="exact"/>
        <w:ind w:firstLine="480" w:firstLineChars="200"/>
        <w:rPr>
          <w:rFonts w:ascii="宋体" w:hAnsi="宋体" w:eastAsia="宋体"/>
          <w:sz w:val="24"/>
          <w:szCs w:val="24"/>
        </w:rPr>
      </w:pPr>
    </w:p>
    <w:p>
      <w:pPr>
        <w:spacing w:line="540" w:lineRule="exact"/>
        <w:ind w:firstLine="480" w:firstLineChars="200"/>
        <w:rPr>
          <w:rFonts w:ascii="宋体" w:hAnsi="宋体" w:eastAsia="宋体"/>
          <w:sz w:val="24"/>
          <w:szCs w:val="24"/>
        </w:rPr>
      </w:pPr>
    </w:p>
    <w:p>
      <w:pPr>
        <w:pStyle w:val="2"/>
        <w:spacing w:line="540" w:lineRule="exact"/>
        <w:rPr>
          <w:rFonts w:ascii="宋体" w:hAnsi="宋体" w:eastAsia="宋体"/>
          <w:b/>
          <w:sz w:val="28"/>
          <w:szCs w:val="28"/>
        </w:rPr>
      </w:pPr>
      <w:bookmarkStart w:id="9" w:name="_Toc533443305"/>
      <w:bookmarkStart w:id="10" w:name="_Toc328124278"/>
      <w:r>
        <w:rPr>
          <w:rFonts w:hint="eastAsia" w:ascii="宋体" w:hAnsi="宋体" w:eastAsia="宋体"/>
          <w:b/>
          <w:sz w:val="28"/>
          <w:szCs w:val="28"/>
        </w:rPr>
        <w:t>第二章  项目建设地点</w:t>
      </w:r>
      <w:bookmarkEnd w:id="9"/>
      <w:bookmarkEnd w:id="10"/>
    </w:p>
    <w:p>
      <w:pPr>
        <w:spacing w:line="540" w:lineRule="exact"/>
        <w:ind w:firstLine="480" w:firstLineChars="200"/>
        <w:rPr>
          <w:rFonts w:ascii="宋体" w:hAnsi="宋体" w:eastAsia="宋体" w:cs="宋体"/>
          <w:sz w:val="24"/>
          <w:szCs w:val="24"/>
        </w:rPr>
      </w:pPr>
      <w:r>
        <w:rPr>
          <w:rFonts w:hint="eastAsia" w:ascii="宋体" w:hAnsi="宋体" w:eastAsia="宋体"/>
          <w:sz w:val="24"/>
          <w:szCs w:val="24"/>
          <w:lang w:eastAsia="zh-CN"/>
        </w:rPr>
        <w:t>治安镇西呼拉斯台嘎查农田电力设施配套项目建设地点为</w:t>
      </w:r>
      <w:r>
        <w:rPr>
          <w:rFonts w:hint="eastAsia" w:ascii="宋体" w:hAnsi="宋体" w:eastAsia="宋体"/>
          <w:sz w:val="24"/>
          <w:szCs w:val="24"/>
          <w:lang w:val="en-US" w:eastAsia="zh-CN"/>
        </w:rPr>
        <w:t>西呼拉斯台嘎查</w:t>
      </w:r>
      <w:r>
        <w:rPr>
          <w:rFonts w:hint="eastAsia" w:ascii="宋体" w:hAnsi="宋体" w:eastAsia="宋体"/>
          <w:sz w:val="24"/>
          <w:szCs w:val="24"/>
        </w:rPr>
        <w:t>。</w:t>
      </w:r>
      <w:r>
        <w:rPr>
          <w:rFonts w:hint="eastAsia" w:ascii="宋体" w:hAnsi="宋体" w:eastAsia="宋体" w:cs="宋体"/>
          <w:sz w:val="24"/>
          <w:szCs w:val="24"/>
        </w:rPr>
        <w:t>农业基础条件脆弱，耕地大部分为坡耕地，经营水平低下，广种薄收，用养失调，水土流失潜在危险大，粮食产量低而不稳。</w:t>
      </w:r>
      <w:r>
        <w:rPr>
          <w:rFonts w:hint="eastAsia" w:ascii="宋体" w:hAnsi="宋体" w:eastAsia="宋体"/>
          <w:color w:val="000000"/>
          <w:sz w:val="24"/>
          <w:szCs w:val="24"/>
        </w:rPr>
        <w:t>现有耕地无水浇条件，并且水源少，逢春旱时不能及时播种，农业生产主要靠</w:t>
      </w:r>
      <w:r>
        <w:rPr>
          <w:rFonts w:hint="eastAsia" w:ascii="宋体" w:hAnsi="宋体" w:eastAsia="宋体"/>
          <w:color w:val="000000"/>
          <w:sz w:val="24"/>
          <w:szCs w:val="24"/>
          <w:lang w:eastAsia="zh-CN"/>
        </w:rPr>
        <w:t>玉米等</w:t>
      </w:r>
      <w:r>
        <w:rPr>
          <w:rFonts w:hint="eastAsia" w:ascii="宋体" w:hAnsi="宋体" w:eastAsia="宋体"/>
          <w:color w:val="000000"/>
          <w:sz w:val="24"/>
          <w:szCs w:val="24"/>
        </w:rPr>
        <w:t>作物，产量低，效益差，个别家庭因病、因学等原因生活十分困难。在税费改革和取消“两工”后村集体对农业生产基础设施投入无力承担，一家一户又很难做到。破解该村脱贫的唯一途径就是加强水源建设，保证春播坐水点种用水，在水源条件相对较好的河滩地块打井，进行配套，并采取适宜耕地灌溉措施，增加旱涝保收田面积，通过</w:t>
      </w:r>
      <w:r>
        <w:rPr>
          <w:rFonts w:hint="eastAsia" w:ascii="宋体" w:hAnsi="宋体" w:eastAsia="宋体"/>
          <w:sz w:val="24"/>
          <w:szCs w:val="24"/>
        </w:rPr>
        <w:t>水源井电力配套项目</w:t>
      </w:r>
      <w:r>
        <w:rPr>
          <w:rFonts w:hint="eastAsia" w:ascii="宋体" w:hAnsi="宋体" w:eastAsia="宋体"/>
          <w:color w:val="000000"/>
          <w:sz w:val="24"/>
          <w:szCs w:val="24"/>
        </w:rPr>
        <w:t>建设，带动广大群众积极发展高效农作物种植，增加农民收入。</w:t>
      </w:r>
      <w:r>
        <w:rPr>
          <w:rFonts w:hint="eastAsia" w:ascii="宋体" w:hAnsi="宋体" w:eastAsia="宋体" w:cs="宋体"/>
          <w:sz w:val="24"/>
          <w:szCs w:val="24"/>
        </w:rPr>
        <w:t>经多方踏查论证，</w:t>
      </w:r>
      <w:r>
        <w:rPr>
          <w:rFonts w:hint="eastAsia" w:ascii="宋体" w:hAnsi="宋体" w:eastAsia="宋体"/>
          <w:sz w:val="24"/>
          <w:szCs w:val="24"/>
        </w:rPr>
        <w:t>水源井电力配套项目</w:t>
      </w:r>
      <w:r>
        <w:rPr>
          <w:rFonts w:hint="eastAsia" w:ascii="宋体" w:hAnsi="宋体" w:eastAsia="宋体" w:cs="宋体"/>
          <w:sz w:val="24"/>
          <w:szCs w:val="24"/>
        </w:rPr>
        <w:t>建设确定以</w:t>
      </w:r>
      <w:r>
        <w:rPr>
          <w:rFonts w:hint="eastAsia" w:ascii="宋体" w:hAnsi="宋体" w:eastAsia="宋体" w:cs="宋体"/>
          <w:sz w:val="24"/>
          <w:szCs w:val="24"/>
          <w:lang w:eastAsia="zh-CN"/>
        </w:rPr>
        <w:t>原有水源井</w:t>
      </w:r>
      <w:r>
        <w:rPr>
          <w:rFonts w:hint="eastAsia" w:ascii="宋体" w:hAnsi="宋体" w:eastAsia="宋体"/>
          <w:sz w:val="24"/>
          <w:szCs w:val="24"/>
        </w:rPr>
        <w:t>电力配套</w:t>
      </w:r>
      <w:r>
        <w:rPr>
          <w:rFonts w:hint="eastAsia" w:ascii="宋体" w:hAnsi="宋体" w:eastAsia="宋体" w:cs="宋体"/>
          <w:sz w:val="24"/>
          <w:szCs w:val="24"/>
        </w:rPr>
        <w:t>为建设内容</w:t>
      </w:r>
      <w:r>
        <w:rPr>
          <w:rFonts w:hint="eastAsia" w:ascii="宋体" w:hAnsi="宋体" w:eastAsia="宋体" w:cs="宋体"/>
          <w:spacing w:val="-24"/>
          <w:sz w:val="24"/>
          <w:szCs w:val="24"/>
        </w:rPr>
        <w:t>，采取</w:t>
      </w:r>
      <w:r>
        <w:rPr>
          <w:rFonts w:hint="eastAsia" w:ascii="宋体" w:hAnsi="宋体" w:eastAsia="宋体" w:cs="宋体"/>
          <w:sz w:val="24"/>
          <w:szCs w:val="24"/>
        </w:rPr>
        <w:t>工程措施、植物措施和保土耕作等措施有机结合，改良土壤，提高地类，从而提高土地利用率和生产率。</w:t>
      </w:r>
    </w:p>
    <w:p>
      <w:pPr>
        <w:spacing w:line="540" w:lineRule="exact"/>
        <w:ind w:firstLine="480" w:firstLineChars="200"/>
        <w:rPr>
          <w:rFonts w:ascii="宋体" w:hAnsi="宋体" w:eastAsia="宋体"/>
          <w:sz w:val="24"/>
          <w:szCs w:val="24"/>
        </w:rPr>
      </w:pPr>
    </w:p>
    <w:p>
      <w:pPr>
        <w:pStyle w:val="2"/>
        <w:spacing w:line="540" w:lineRule="exact"/>
        <w:ind w:left="0"/>
        <w:rPr>
          <w:rFonts w:ascii="宋体" w:hAnsi="宋体" w:eastAsia="宋体"/>
          <w:b/>
          <w:sz w:val="28"/>
          <w:szCs w:val="28"/>
        </w:rPr>
      </w:pPr>
      <w:bookmarkStart w:id="11" w:name="_Toc328124279"/>
      <w:bookmarkStart w:id="12" w:name="_Toc533443306"/>
      <w:r>
        <w:rPr>
          <w:rFonts w:hint="eastAsia" w:ascii="宋体" w:hAnsi="宋体" w:eastAsia="宋体"/>
          <w:b/>
          <w:sz w:val="28"/>
          <w:szCs w:val="28"/>
        </w:rPr>
        <w:t>第三章  项目建设规模及内容</w:t>
      </w:r>
      <w:bookmarkEnd w:id="11"/>
      <w:bookmarkEnd w:id="12"/>
    </w:p>
    <w:p>
      <w:pPr>
        <w:tabs>
          <w:tab w:val="left" w:pos="2340"/>
        </w:tabs>
        <w:spacing w:line="540" w:lineRule="exact"/>
        <w:ind w:firstLine="480" w:firstLineChars="200"/>
        <w:rPr>
          <w:rFonts w:ascii="宋体" w:hAnsi="宋体" w:eastAsia="宋体"/>
          <w:sz w:val="24"/>
          <w:szCs w:val="24"/>
        </w:rPr>
      </w:pPr>
      <w:r>
        <w:rPr>
          <w:rFonts w:hint="eastAsia" w:ascii="宋体" w:hAnsi="宋体" w:eastAsia="宋体"/>
          <w:sz w:val="24"/>
          <w:szCs w:val="24"/>
          <w:lang w:eastAsia="zh-CN"/>
        </w:rPr>
        <w:t>治安镇西呼拉斯台嘎查农田电力设施配套项目建设地点为</w:t>
      </w:r>
      <w:r>
        <w:rPr>
          <w:rFonts w:hint="eastAsia" w:ascii="宋体" w:hAnsi="宋体" w:eastAsia="宋体"/>
          <w:sz w:val="24"/>
          <w:szCs w:val="24"/>
          <w:lang w:val="en-US" w:eastAsia="zh-CN"/>
        </w:rPr>
        <w:t>西呼拉斯台嘎查</w:t>
      </w:r>
      <w:r>
        <w:rPr>
          <w:rFonts w:hint="eastAsia" w:ascii="宋体" w:hAnsi="宋体" w:eastAsia="宋体"/>
          <w:sz w:val="24"/>
          <w:szCs w:val="24"/>
          <w:lang w:eastAsia="zh-CN"/>
        </w:rPr>
        <w:t>。</w:t>
      </w:r>
      <w:r>
        <w:rPr>
          <w:rFonts w:hint="eastAsia" w:ascii="宋体" w:hAnsi="宋体" w:eastAsia="宋体"/>
          <w:sz w:val="24"/>
          <w:szCs w:val="24"/>
        </w:rPr>
        <w:t>项目主要建设内容为安装变压器7台，单台容量100KVA，架设10KV高压线路3000米。各项投资具体内容见表</w:t>
      </w:r>
    </w:p>
    <w:p>
      <w:pPr>
        <w:spacing w:line="540" w:lineRule="exact"/>
        <w:ind w:firstLine="360" w:firstLineChars="150"/>
        <w:jc w:val="center"/>
        <w:rPr>
          <w:rFonts w:ascii="宋体" w:hAnsi="宋体" w:eastAsia="宋体"/>
          <w:sz w:val="24"/>
          <w:szCs w:val="24"/>
        </w:rPr>
      </w:pPr>
      <w:r>
        <w:rPr>
          <w:rFonts w:hint="eastAsia" w:ascii="宋体" w:hAnsi="宋体" w:eastAsia="宋体"/>
          <w:sz w:val="24"/>
          <w:szCs w:val="24"/>
        </w:rPr>
        <w:t>项目建设投资计划表</w:t>
      </w:r>
    </w:p>
    <w:tbl>
      <w:tblPr>
        <w:tblStyle w:val="18"/>
        <w:tblW w:w="8522"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4"/>
        <w:gridCol w:w="4500"/>
        <w:gridCol w:w="1417"/>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项目名称</w:t>
            </w:r>
          </w:p>
        </w:tc>
        <w:tc>
          <w:tcPr>
            <w:tcW w:w="4500"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建设内容</w:t>
            </w:r>
          </w:p>
        </w:tc>
        <w:tc>
          <w:tcPr>
            <w:tcW w:w="1417"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投资金额</w:t>
            </w:r>
          </w:p>
        </w:tc>
        <w:tc>
          <w:tcPr>
            <w:tcW w:w="901" w:type="dxa"/>
            <w:vAlign w:val="center"/>
          </w:tcPr>
          <w:p>
            <w:pPr>
              <w:spacing w:line="540" w:lineRule="exact"/>
              <w:jc w:val="center"/>
              <w:rPr>
                <w:rFonts w:ascii="宋体" w:hAnsi="宋体" w:eastAsia="宋体"/>
                <w:sz w:val="24"/>
                <w:szCs w:val="24"/>
              </w:rPr>
            </w:pPr>
            <w:r>
              <w:rPr>
                <w:rFonts w:hint="eastAsia" w:ascii="宋体" w:hAnsi="宋体" w:eastAsia="宋体"/>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pPr>
              <w:spacing w:line="540" w:lineRule="exact"/>
              <w:ind w:left="139" w:hanging="139" w:hangingChars="58"/>
              <w:jc w:val="center"/>
              <w:rPr>
                <w:rFonts w:hint="eastAsia" w:ascii="宋体" w:hAnsi="宋体" w:eastAsia="宋体"/>
                <w:sz w:val="24"/>
                <w:szCs w:val="24"/>
                <w:lang w:eastAsia="zh-CN"/>
              </w:rPr>
            </w:pPr>
            <w:r>
              <w:rPr>
                <w:rFonts w:hint="eastAsia" w:ascii="宋体" w:hAnsi="宋体" w:eastAsia="宋体"/>
                <w:sz w:val="24"/>
                <w:szCs w:val="24"/>
                <w:lang w:eastAsia="zh-CN"/>
              </w:rPr>
              <w:t>治安镇西呼拉斯台嘎查农田电力设施配套项目</w:t>
            </w:r>
          </w:p>
        </w:tc>
        <w:tc>
          <w:tcPr>
            <w:tcW w:w="4500" w:type="dxa"/>
            <w:vAlign w:val="center"/>
          </w:tcPr>
          <w:p>
            <w:pPr>
              <w:spacing w:line="540" w:lineRule="exact"/>
              <w:jc w:val="both"/>
              <w:rPr>
                <w:rFonts w:ascii="宋体" w:hAnsi="宋体" w:eastAsia="宋体"/>
                <w:sz w:val="24"/>
                <w:szCs w:val="24"/>
              </w:rPr>
            </w:pPr>
            <w:r>
              <w:rPr>
                <w:rFonts w:hint="eastAsia" w:ascii="宋体" w:hAnsi="宋体" w:eastAsia="宋体"/>
                <w:sz w:val="24"/>
                <w:szCs w:val="24"/>
              </w:rPr>
              <w:t>安装变压器7台，单台容量100KVA，架设10KV高压线路3000米。</w:t>
            </w:r>
          </w:p>
        </w:tc>
        <w:tc>
          <w:tcPr>
            <w:tcW w:w="1417" w:type="dxa"/>
            <w:vAlign w:val="center"/>
          </w:tcPr>
          <w:p>
            <w:pPr>
              <w:spacing w:line="540" w:lineRule="exact"/>
              <w:jc w:val="center"/>
              <w:rPr>
                <w:rFonts w:ascii="宋体" w:hAnsi="宋体" w:eastAsia="宋体"/>
                <w:sz w:val="24"/>
                <w:szCs w:val="24"/>
              </w:rPr>
            </w:pPr>
            <w:r>
              <w:rPr>
                <w:rFonts w:hint="eastAsia" w:ascii="宋体" w:hAnsi="宋体" w:eastAsia="宋体"/>
                <w:sz w:val="24"/>
                <w:szCs w:val="24"/>
                <w:lang w:val="en-US" w:eastAsia="zh-CN"/>
              </w:rPr>
              <w:t>69.4</w:t>
            </w:r>
            <w:r>
              <w:rPr>
                <w:rFonts w:hint="eastAsia" w:ascii="宋体" w:hAnsi="宋体" w:eastAsia="宋体"/>
                <w:sz w:val="24"/>
                <w:szCs w:val="24"/>
              </w:rPr>
              <w:t>万元</w:t>
            </w:r>
          </w:p>
        </w:tc>
        <w:tc>
          <w:tcPr>
            <w:tcW w:w="901" w:type="dxa"/>
            <w:vAlign w:val="center"/>
          </w:tcPr>
          <w:p>
            <w:pPr>
              <w:spacing w:line="540" w:lineRule="exact"/>
              <w:jc w:val="center"/>
              <w:rPr>
                <w:rFonts w:ascii="宋体" w:hAnsi="宋体" w:eastAsia="宋体"/>
                <w:sz w:val="24"/>
                <w:szCs w:val="24"/>
              </w:rPr>
            </w:pPr>
          </w:p>
        </w:tc>
      </w:tr>
    </w:tbl>
    <w:p>
      <w:pPr>
        <w:pStyle w:val="2"/>
        <w:spacing w:line="540" w:lineRule="exact"/>
        <w:rPr>
          <w:rFonts w:hint="eastAsia" w:ascii="宋体" w:hAnsi="宋体" w:eastAsia="宋体"/>
          <w:b/>
          <w:sz w:val="28"/>
          <w:szCs w:val="28"/>
        </w:rPr>
      </w:pPr>
      <w:bookmarkStart w:id="13" w:name="_Toc533443307"/>
    </w:p>
    <w:p>
      <w:pPr>
        <w:pStyle w:val="2"/>
        <w:spacing w:line="540" w:lineRule="exact"/>
        <w:rPr>
          <w:rFonts w:ascii="宋体" w:hAnsi="宋体" w:eastAsia="宋体"/>
          <w:b/>
          <w:sz w:val="28"/>
          <w:szCs w:val="28"/>
        </w:rPr>
      </w:pPr>
      <w:r>
        <w:rPr>
          <w:rFonts w:hint="eastAsia" w:ascii="宋体" w:hAnsi="宋体" w:eastAsia="宋体"/>
          <w:b/>
          <w:sz w:val="28"/>
          <w:szCs w:val="28"/>
        </w:rPr>
        <w:t>第四章  工程设计及技术标准</w:t>
      </w:r>
      <w:bookmarkEnd w:id="13"/>
      <w:bookmarkStart w:id="14" w:name="_Toc328124281"/>
    </w:p>
    <w:bookmarkEnd w:id="14"/>
    <w:p>
      <w:pPr>
        <w:spacing w:line="540" w:lineRule="exact"/>
        <w:rPr>
          <w:rFonts w:ascii="宋体" w:hAnsi="宋体" w:eastAsia="宋体"/>
          <w:b/>
          <w:sz w:val="24"/>
          <w:szCs w:val="24"/>
        </w:rPr>
      </w:pPr>
      <w:r>
        <w:rPr>
          <w:rFonts w:hint="eastAsia" w:ascii="宋体" w:hAnsi="宋体" w:eastAsia="宋体"/>
          <w:b/>
          <w:bCs/>
          <w:sz w:val="24"/>
          <w:szCs w:val="24"/>
        </w:rPr>
        <w:t>4.1工程内容</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根据项目区实际，工程主要建设内容为农田水源井电力配套项目。主要建设内容</w:t>
      </w:r>
      <w:bookmarkStart w:id="15" w:name="_Toc328124282"/>
      <w:r>
        <w:rPr>
          <w:rFonts w:hint="eastAsia" w:ascii="宋体" w:hAnsi="宋体" w:eastAsia="宋体"/>
          <w:sz w:val="24"/>
          <w:szCs w:val="24"/>
        </w:rPr>
        <w:t>安装变压器7台，单台容量100KVA，架设10KV高压线路3000米。</w:t>
      </w:r>
    </w:p>
    <w:p>
      <w:pPr>
        <w:spacing w:line="540" w:lineRule="exact"/>
        <w:rPr>
          <w:rFonts w:ascii="宋体" w:hAnsi="宋体" w:eastAsia="宋体"/>
          <w:b/>
          <w:sz w:val="24"/>
          <w:szCs w:val="24"/>
        </w:rPr>
      </w:pPr>
      <w:r>
        <w:rPr>
          <w:rFonts w:hint="eastAsia" w:ascii="宋体" w:hAnsi="宋体" w:eastAsia="宋体"/>
          <w:b/>
          <w:bCs/>
          <w:sz w:val="24"/>
          <w:szCs w:val="24"/>
        </w:rPr>
        <w:t>4.2工程设计及技术标准</w:t>
      </w:r>
      <w:bookmarkEnd w:id="15"/>
    </w:p>
    <w:p>
      <w:pPr>
        <w:spacing w:line="540" w:lineRule="exact"/>
        <w:ind w:firstLine="482"/>
        <w:rPr>
          <w:rFonts w:ascii="宋体" w:hAnsi="宋体" w:eastAsia="宋体"/>
          <w:b/>
          <w:bCs/>
          <w:color w:val="000000"/>
          <w:sz w:val="24"/>
          <w:szCs w:val="24"/>
        </w:rPr>
      </w:pPr>
      <w:r>
        <w:rPr>
          <w:rFonts w:hint="eastAsia" w:ascii="宋体" w:hAnsi="宋体" w:eastAsia="宋体"/>
          <w:b/>
          <w:sz w:val="24"/>
          <w:szCs w:val="24"/>
        </w:rPr>
        <w:t>4.2.1、</w:t>
      </w:r>
      <w:bookmarkStart w:id="16" w:name="_Toc328124284"/>
      <w:r>
        <w:rPr>
          <w:rFonts w:hint="eastAsia" w:ascii="宋体" w:hAnsi="宋体" w:eastAsia="宋体"/>
          <w:b/>
          <w:bCs/>
          <w:color w:val="000000"/>
          <w:sz w:val="24"/>
          <w:szCs w:val="24"/>
        </w:rPr>
        <w:t>供电线路设计标准</w:t>
      </w:r>
    </w:p>
    <w:p>
      <w:pPr>
        <w:spacing w:line="54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根据项目区实际，为原有水源井作配电线路设计。供电线路具体设计由具备资质的专业设计部门单独测量设计，本方案仅对设计标准及施工做简单阐述。</w:t>
      </w:r>
    </w:p>
    <w:p>
      <w:pPr>
        <w:spacing w:line="540" w:lineRule="exact"/>
        <w:ind w:firstLine="480" w:firstLineChars="200"/>
        <w:rPr>
          <w:rFonts w:ascii="宋体" w:hAnsi="宋体" w:eastAsia="宋体"/>
          <w:bCs/>
          <w:color w:val="000000"/>
          <w:sz w:val="24"/>
          <w:szCs w:val="24"/>
        </w:rPr>
      </w:pPr>
      <w:r>
        <w:rPr>
          <w:rFonts w:hint="eastAsia" w:ascii="宋体" w:hAnsi="宋体" w:eastAsia="宋体"/>
          <w:bCs/>
          <w:color w:val="000000"/>
          <w:sz w:val="24"/>
          <w:szCs w:val="24"/>
        </w:rPr>
        <w:t>1、供电线路设计标准</w:t>
      </w:r>
    </w:p>
    <w:p>
      <w:pPr>
        <w:spacing w:line="5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供电工程建设根据国家电力行业标准规范，以奈曼旗农电局营业区域内新装农业灌排电力工程建设《农业排灌电力工程建设技术标准》确定。主要引用标准、规程规范为：</w:t>
      </w:r>
    </w:p>
    <w:p>
      <w:pPr>
        <w:spacing w:line="5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（1）《10KV即以下架空配电线路设计技术规程》DL/5220-2005;</w:t>
      </w:r>
    </w:p>
    <w:p>
      <w:pPr>
        <w:spacing w:line="5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（2）《农村低压电力技术规程》DL/T499-2001；</w:t>
      </w:r>
    </w:p>
    <w:p>
      <w:pPr>
        <w:spacing w:line="5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（3）《电力变压器》GB1094-2005；</w:t>
      </w:r>
    </w:p>
    <w:p>
      <w:pPr>
        <w:spacing w:line="5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（4）《农村电力网规划设计导则》DL/T5118-2010；</w:t>
      </w:r>
    </w:p>
    <w:p>
      <w:pPr>
        <w:spacing w:line="5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（5）《电气装置安装工程电缆工程施工及验收规范》GB50168-2006；</w:t>
      </w:r>
    </w:p>
    <w:p>
      <w:pPr>
        <w:spacing w:line="540" w:lineRule="exact"/>
        <w:ind w:firstLine="523" w:firstLineChars="218"/>
        <w:rPr>
          <w:rFonts w:ascii="宋体" w:hAnsi="宋体" w:eastAsia="宋体"/>
          <w:color w:val="000000"/>
          <w:sz w:val="24"/>
          <w:szCs w:val="24"/>
        </w:rPr>
      </w:pPr>
      <w:r>
        <w:rPr>
          <w:rFonts w:hint="eastAsia" w:ascii="宋体" w:hAnsi="宋体" w:eastAsia="宋体" w:cs="宋体"/>
          <w:color w:val="000000"/>
          <w:sz w:val="24"/>
          <w:szCs w:val="24"/>
        </w:rPr>
        <w:t>（6）《国家电网公司农网10KV柱上变压器台通用设计》（2012）版。</w:t>
      </w:r>
    </w:p>
    <w:p>
      <w:pPr>
        <w:spacing w:line="540" w:lineRule="exact"/>
        <w:ind w:firstLine="480" w:firstLineChars="200"/>
        <w:rPr>
          <w:rFonts w:ascii="宋体" w:hAnsi="宋体" w:eastAsia="宋体"/>
          <w:bCs/>
          <w:color w:val="000000"/>
          <w:sz w:val="24"/>
          <w:szCs w:val="24"/>
        </w:rPr>
      </w:pPr>
      <w:r>
        <w:rPr>
          <w:rFonts w:hint="eastAsia" w:ascii="宋体" w:hAnsi="宋体" w:eastAsia="宋体"/>
          <w:bCs/>
          <w:color w:val="000000"/>
          <w:sz w:val="24"/>
          <w:szCs w:val="24"/>
        </w:rPr>
        <w:t>2、施工技术方案</w:t>
      </w:r>
    </w:p>
    <w:p>
      <w:pPr>
        <w:spacing w:line="540" w:lineRule="exact"/>
        <w:ind w:firstLine="523" w:firstLineChars="218"/>
        <w:rPr>
          <w:rFonts w:ascii="宋体" w:hAnsi="宋体" w:eastAsia="宋体"/>
          <w:color w:val="000000"/>
          <w:sz w:val="24"/>
          <w:szCs w:val="24"/>
        </w:rPr>
      </w:pPr>
      <w:r>
        <w:rPr>
          <w:rFonts w:hint="eastAsia" w:ascii="宋体" w:hAnsi="宋体" w:eastAsia="宋体"/>
          <w:color w:val="000000"/>
          <w:sz w:val="24"/>
          <w:szCs w:val="24"/>
        </w:rPr>
        <w:t>根据当地水源状况和实际现状，按项目区实际井控面积确定水源井数量，并选择水泵型号。按总功率选择适当型号变压器。 施工过程中严格执行《农业排灌电力工程建设技术标准》。高压线路布设按接火点近，布局合理，无障碍物，便于操作施工的原则进行布设。低压线路布设沿田间路进行，避免占用耕地，与排灌渠道走向相一致。线路设计尽可能减少生态环境破坏，如遇特殊地形，如河滩地、林网套种等地块，可以以电缆直埋铺设方式施工。主要施工技术方案为：</w:t>
      </w:r>
    </w:p>
    <w:p>
      <w:pPr>
        <w:spacing w:line="540" w:lineRule="exact"/>
        <w:ind w:firstLine="523" w:firstLineChars="218"/>
        <w:rPr>
          <w:rFonts w:ascii="宋体" w:hAnsi="宋体" w:eastAsia="宋体"/>
          <w:color w:val="000000"/>
          <w:sz w:val="24"/>
          <w:szCs w:val="24"/>
        </w:rPr>
      </w:pPr>
      <w:r>
        <w:rPr>
          <w:rFonts w:hint="eastAsia" w:ascii="宋体" w:hAnsi="宋体" w:eastAsia="宋体"/>
          <w:color w:val="000000"/>
          <w:sz w:val="24"/>
          <w:szCs w:val="24"/>
        </w:rPr>
        <w:t xml:space="preserve">  （1）电源接入：电源接入可分架空线路和电缆接入两种方式，10KVA高压电源接入点装设分支开关进行过载或短路保护，10KVA高压线路布设按接火点近，布局合理，无障碍物，便于操作施工的原则进行布设。线路设计尽可能减少生态环境破坏。电力工程施工严格遵守电力部门行业相关规范及要求。</w:t>
      </w:r>
    </w:p>
    <w:p>
      <w:pPr>
        <w:spacing w:line="540" w:lineRule="exact"/>
        <w:ind w:firstLine="523" w:firstLineChars="218"/>
        <w:rPr>
          <w:rFonts w:ascii="宋体" w:hAnsi="宋体" w:eastAsia="宋体"/>
          <w:color w:val="000000"/>
          <w:sz w:val="24"/>
          <w:szCs w:val="24"/>
        </w:rPr>
      </w:pPr>
      <w:r>
        <w:rPr>
          <w:rFonts w:hint="eastAsia" w:ascii="宋体" w:hAnsi="宋体" w:eastAsia="宋体"/>
          <w:color w:val="000000"/>
          <w:sz w:val="24"/>
          <w:szCs w:val="24"/>
        </w:rPr>
        <w:t>（2）变压器选择及安装：入网变压器使用</w:t>
      </w:r>
      <w:r>
        <w:rPr>
          <w:rFonts w:hint="eastAsia" w:ascii="宋体" w:hAnsi="宋体" w:eastAsia="宋体"/>
          <w:color w:val="000000"/>
          <w:sz w:val="24"/>
          <w:szCs w:val="24"/>
          <w:lang w:eastAsia="zh-CN"/>
        </w:rPr>
        <w:t>S13</w:t>
      </w:r>
      <w:r>
        <w:rPr>
          <w:rFonts w:hint="eastAsia" w:ascii="宋体" w:hAnsi="宋体" w:eastAsia="宋体"/>
          <w:color w:val="000000"/>
          <w:sz w:val="24"/>
          <w:szCs w:val="24"/>
        </w:rPr>
        <w:t>系列以上节能型变压器。变压器应有产品出厂合格证、随带的技术文件应齐全；应有出厂试验记录；型号规格应和设计相符；备件、附件应完好。变压器主体检查外观无机械损伤及变型，油漆完好，安装过程中要按操作规程进行施工，本项目选型变压器为</w:t>
      </w:r>
      <w:r>
        <w:rPr>
          <w:rFonts w:hint="eastAsia" w:ascii="宋体" w:hAnsi="宋体" w:eastAsia="宋体"/>
          <w:color w:val="000000"/>
          <w:sz w:val="24"/>
          <w:szCs w:val="24"/>
          <w:lang w:eastAsia="zh-CN"/>
        </w:rPr>
        <w:t>S13</w:t>
      </w:r>
      <w:r>
        <w:rPr>
          <w:rFonts w:hint="eastAsia" w:ascii="宋体" w:hAnsi="宋体" w:eastAsia="宋体"/>
          <w:color w:val="000000"/>
          <w:sz w:val="24"/>
          <w:szCs w:val="24"/>
        </w:rPr>
        <w:t>-100KVA型号。变压器经试验需符合GB1094.1.2-1996和GB/T6451-2008《油浸式电力变压器技术参数和要求》规定。供电线路架设按载负荷距离高压变最大不超过500米设计。高压线路为钢芯铝绞线LGJ-</w:t>
      </w:r>
      <w:r>
        <w:rPr>
          <w:rFonts w:hint="eastAsia" w:ascii="宋体" w:hAnsi="宋体" w:eastAsia="宋体"/>
          <w:color w:val="000000"/>
          <w:sz w:val="24"/>
          <w:szCs w:val="24"/>
          <w:lang w:val="en-US" w:eastAsia="zh-CN"/>
        </w:rPr>
        <w:t>50</w:t>
      </w:r>
      <w:r>
        <w:rPr>
          <w:rFonts w:hint="eastAsia" w:ascii="宋体" w:hAnsi="宋体" w:eastAsia="宋体"/>
          <w:color w:val="000000"/>
          <w:sz w:val="24"/>
          <w:szCs w:val="24"/>
        </w:rPr>
        <w:t>型。</w:t>
      </w:r>
    </w:p>
    <w:p>
      <w:pPr>
        <w:spacing w:line="540" w:lineRule="exact"/>
        <w:ind w:firstLine="523" w:firstLineChars="218"/>
        <w:rPr>
          <w:rFonts w:ascii="宋体" w:hAnsi="宋体" w:eastAsia="宋体"/>
          <w:color w:val="000000"/>
          <w:sz w:val="24"/>
          <w:szCs w:val="24"/>
        </w:rPr>
      </w:pPr>
      <w:r>
        <w:rPr>
          <w:rFonts w:hint="eastAsia" w:ascii="宋体" w:hAnsi="宋体" w:eastAsia="宋体"/>
          <w:color w:val="000000"/>
          <w:sz w:val="24"/>
          <w:szCs w:val="24"/>
        </w:rPr>
        <w:t>（3）供电线路杆塔及导线选择：架空线路以预应力钢筋混凝土电杆为主，特殊位置的跨越杆、耐张杆、终端杆可采用普杆或高强杆。10KV高压线路要求选用符合国家标准的B-190-1</w:t>
      </w: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水泥杆，遇道路或其他可能通过障碍物处要求选用符合国家标准的B-190-1</w:t>
      </w:r>
      <w:r>
        <w:rPr>
          <w:rFonts w:hint="eastAsia" w:ascii="宋体" w:hAnsi="宋体" w:eastAsia="宋体"/>
          <w:color w:val="000000"/>
          <w:sz w:val="24"/>
          <w:szCs w:val="24"/>
          <w:lang w:val="en-US" w:eastAsia="zh-CN"/>
        </w:rPr>
        <w:t>5</w:t>
      </w:r>
      <w:r>
        <w:rPr>
          <w:rFonts w:hint="eastAsia" w:ascii="宋体" w:hAnsi="宋体" w:eastAsia="宋体"/>
          <w:color w:val="000000"/>
          <w:sz w:val="24"/>
          <w:szCs w:val="24"/>
        </w:rPr>
        <w:t>水泥杆。档距要求10KV不超过70米。架空导线以钢芯铝绞线为主，10KV高压导线为钢芯铝绞线LGJ-50型。导线排列方式中10KV三角排列。</w:t>
      </w:r>
    </w:p>
    <w:p>
      <w:pPr>
        <w:pStyle w:val="2"/>
        <w:spacing w:line="540" w:lineRule="exact"/>
        <w:ind w:left="0"/>
        <w:jc w:val="both"/>
        <w:rPr>
          <w:rFonts w:ascii="宋体" w:hAnsi="宋体" w:eastAsia="宋体"/>
          <w:sz w:val="24"/>
          <w:szCs w:val="24"/>
        </w:rPr>
      </w:pPr>
    </w:p>
    <w:p>
      <w:pPr>
        <w:pStyle w:val="2"/>
        <w:spacing w:line="540" w:lineRule="exact"/>
        <w:rPr>
          <w:rFonts w:ascii="宋体" w:hAnsi="宋体" w:eastAsia="宋体"/>
          <w:b/>
          <w:sz w:val="28"/>
          <w:szCs w:val="28"/>
        </w:rPr>
      </w:pPr>
      <w:bookmarkStart w:id="17" w:name="_Toc533443308"/>
      <w:r>
        <w:rPr>
          <w:rFonts w:hint="eastAsia" w:ascii="宋体" w:hAnsi="宋体" w:eastAsia="宋体"/>
          <w:b/>
          <w:sz w:val="28"/>
          <w:szCs w:val="28"/>
        </w:rPr>
        <w:t>第五章  工程概算及资金来源</w:t>
      </w:r>
      <w:bookmarkEnd w:id="16"/>
      <w:bookmarkEnd w:id="17"/>
      <w:bookmarkStart w:id="18" w:name="_Toc328124285"/>
    </w:p>
    <w:bookmarkEnd w:id="18"/>
    <w:p>
      <w:pPr>
        <w:spacing w:line="540" w:lineRule="exact"/>
        <w:ind w:firstLine="120" w:firstLineChars="50"/>
        <w:rPr>
          <w:rFonts w:ascii="宋体" w:hAnsi="宋体" w:eastAsia="宋体" w:cs="Arial"/>
          <w:b/>
          <w:sz w:val="24"/>
          <w:szCs w:val="24"/>
        </w:rPr>
      </w:pPr>
      <w:r>
        <w:rPr>
          <w:rFonts w:hint="eastAsia" w:ascii="宋体" w:hAnsi="宋体" w:eastAsia="宋体"/>
          <w:b/>
          <w:sz w:val="24"/>
          <w:szCs w:val="24"/>
        </w:rPr>
        <w:t>5.1、投资概算依据</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项目投资概算编制依据主要采用概算指标法，按项目所在地基本情况和生产需求，结合当地农田水利建设支出水平估算工程造价。</w:t>
      </w:r>
    </w:p>
    <w:p>
      <w:pPr>
        <w:spacing w:line="540" w:lineRule="exact"/>
        <w:ind w:firstLine="480" w:firstLineChars="200"/>
        <w:rPr>
          <w:rFonts w:hint="eastAsia" w:ascii="宋体" w:hAnsi="宋体" w:eastAsia="宋体"/>
          <w:sz w:val="24"/>
          <w:szCs w:val="24"/>
        </w:rPr>
      </w:pPr>
      <w:bookmarkStart w:id="19" w:name="_Toc328124286"/>
      <w:r>
        <w:rPr>
          <w:rFonts w:hint="eastAsia" w:ascii="宋体" w:hAnsi="宋体" w:eastAsia="宋体"/>
          <w:sz w:val="24"/>
          <w:szCs w:val="24"/>
        </w:rPr>
        <w:t>（1）工程安装定额执行《工施工安装工程预算定额》；</w:t>
      </w:r>
    </w:p>
    <w:p>
      <w:pPr>
        <w:spacing w:line="540" w:lineRule="exact"/>
        <w:ind w:firstLine="480" w:firstLineChars="200"/>
        <w:rPr>
          <w:rFonts w:hint="eastAsia" w:ascii="宋体" w:hAnsi="宋体" w:eastAsia="宋体"/>
          <w:sz w:val="24"/>
          <w:szCs w:val="24"/>
        </w:rPr>
      </w:pPr>
      <w:r>
        <w:rPr>
          <w:rFonts w:hint="eastAsia" w:ascii="宋体" w:hAnsi="宋体" w:eastAsia="宋体"/>
          <w:sz w:val="24"/>
          <w:szCs w:val="24"/>
        </w:rPr>
        <w:t>（2）工程费用定额执行《建设工程施工取费定额》；</w:t>
      </w:r>
    </w:p>
    <w:p>
      <w:pPr>
        <w:spacing w:line="540" w:lineRule="exact"/>
        <w:ind w:firstLine="480" w:firstLineChars="200"/>
        <w:rPr>
          <w:rFonts w:hint="eastAsia" w:ascii="宋体" w:hAnsi="宋体" w:eastAsia="宋体"/>
          <w:sz w:val="24"/>
          <w:szCs w:val="24"/>
        </w:rPr>
      </w:pPr>
      <w:r>
        <w:rPr>
          <w:rFonts w:hint="eastAsia" w:ascii="宋体" w:hAnsi="宋体" w:eastAsia="宋体"/>
          <w:sz w:val="24"/>
          <w:szCs w:val="24"/>
        </w:rPr>
        <w:t>（3）调试费用执行《电力建设工程预算定额》；</w:t>
      </w:r>
    </w:p>
    <w:p>
      <w:pPr>
        <w:spacing w:line="540" w:lineRule="exact"/>
        <w:ind w:firstLine="120" w:firstLineChars="50"/>
        <w:rPr>
          <w:rFonts w:ascii="宋体" w:hAnsi="宋体" w:eastAsia="宋体" w:cs="Arial"/>
          <w:b/>
          <w:sz w:val="24"/>
          <w:szCs w:val="24"/>
        </w:rPr>
      </w:pPr>
      <w:r>
        <w:rPr>
          <w:rFonts w:hint="eastAsia" w:ascii="宋体" w:hAnsi="宋体" w:eastAsia="宋体"/>
          <w:b/>
          <w:sz w:val="24"/>
          <w:szCs w:val="24"/>
        </w:rPr>
        <w:t>5.2、项目总投资及概算</w:t>
      </w:r>
      <w:bookmarkEnd w:id="19"/>
    </w:p>
    <w:p>
      <w:pPr>
        <w:tabs>
          <w:tab w:val="left" w:pos="2340"/>
        </w:tabs>
        <w:spacing w:line="540" w:lineRule="exact"/>
        <w:ind w:firstLine="480" w:firstLineChars="200"/>
        <w:rPr>
          <w:rFonts w:ascii="宋体" w:hAnsi="宋体" w:eastAsia="宋体"/>
          <w:sz w:val="24"/>
          <w:szCs w:val="24"/>
        </w:rPr>
      </w:pPr>
      <w:r>
        <w:rPr>
          <w:rFonts w:hint="eastAsia" w:ascii="宋体" w:hAnsi="宋体" w:eastAsia="宋体"/>
          <w:sz w:val="24"/>
          <w:szCs w:val="24"/>
          <w:lang w:eastAsia="zh-CN"/>
        </w:rPr>
        <w:t>治安镇西呼拉斯台嘎查农田电力设施配套项目</w:t>
      </w:r>
      <w:r>
        <w:rPr>
          <w:rFonts w:hint="eastAsia" w:ascii="宋体" w:hAnsi="宋体" w:eastAsia="宋体"/>
          <w:sz w:val="24"/>
          <w:szCs w:val="24"/>
        </w:rPr>
        <w:t>总投资</w:t>
      </w:r>
      <w:r>
        <w:rPr>
          <w:rFonts w:hint="eastAsia" w:ascii="宋体" w:hAnsi="宋体" w:eastAsia="宋体" w:cs="Arial"/>
          <w:sz w:val="24"/>
          <w:szCs w:val="24"/>
          <w:lang w:val="en-US" w:eastAsia="zh-CN"/>
        </w:rPr>
        <w:t>69.4</w:t>
      </w:r>
      <w:r>
        <w:rPr>
          <w:rFonts w:hint="eastAsia" w:ascii="宋体" w:hAnsi="宋体" w:eastAsia="宋体"/>
          <w:sz w:val="24"/>
          <w:szCs w:val="24"/>
        </w:rPr>
        <w:t>万</w:t>
      </w:r>
      <w:r>
        <w:rPr>
          <w:rFonts w:hint="eastAsia" w:ascii="宋体" w:hAnsi="宋体" w:eastAsia="宋体"/>
          <w:sz w:val="24"/>
          <w:szCs w:val="24"/>
          <w:highlight w:val="none"/>
        </w:rPr>
        <w:t>元,其中</w:t>
      </w:r>
      <w:r>
        <w:rPr>
          <w:rFonts w:hint="eastAsia" w:ascii="宋体" w:hAnsi="宋体" w:eastAsia="宋体"/>
          <w:sz w:val="24"/>
          <w:szCs w:val="24"/>
          <w:highlight w:val="none"/>
          <w:lang w:val="en-US" w:eastAsia="zh-CN"/>
        </w:rPr>
        <w:t>少数民族发展任务资金</w:t>
      </w:r>
      <w:r>
        <w:rPr>
          <w:rFonts w:hint="eastAsia" w:ascii="宋体" w:hAnsi="宋体" w:eastAsia="宋体" w:cs="Arial"/>
          <w:sz w:val="24"/>
          <w:szCs w:val="24"/>
          <w:highlight w:val="none"/>
          <w:lang w:val="en-US" w:eastAsia="zh-CN"/>
        </w:rPr>
        <w:t>69.4</w:t>
      </w:r>
      <w:r>
        <w:rPr>
          <w:rFonts w:hint="eastAsia" w:ascii="宋体" w:hAnsi="宋体" w:eastAsia="宋体"/>
          <w:sz w:val="24"/>
          <w:szCs w:val="24"/>
          <w:highlight w:val="none"/>
        </w:rPr>
        <w:t>万元，占投资总额的</w:t>
      </w:r>
      <w:r>
        <w:rPr>
          <w:rFonts w:hint="eastAsia" w:ascii="宋体" w:hAnsi="宋体" w:eastAsia="宋体" w:cs="Arial"/>
          <w:sz w:val="24"/>
          <w:szCs w:val="24"/>
          <w:highlight w:val="none"/>
        </w:rPr>
        <w:t>100%</w:t>
      </w:r>
      <w:r>
        <w:rPr>
          <w:rFonts w:hint="eastAsia" w:ascii="宋体" w:hAnsi="宋体" w:eastAsia="宋体"/>
          <w:sz w:val="24"/>
          <w:szCs w:val="24"/>
          <w:highlight w:val="none"/>
        </w:rPr>
        <w:t>。专项资金用于供电线路及配管设</w:t>
      </w:r>
      <w:r>
        <w:rPr>
          <w:rFonts w:hint="eastAsia" w:ascii="宋体" w:hAnsi="宋体" w:eastAsia="宋体"/>
          <w:sz w:val="24"/>
          <w:szCs w:val="24"/>
        </w:rPr>
        <w:t>备配套等建设内容，专款专用，不得挪作它用；以确保工程在设计工期内保质保量完成项目，该投资全部为建设工程费用。</w:t>
      </w:r>
      <w:bookmarkStart w:id="20" w:name="_Toc328124288"/>
    </w:p>
    <w:p>
      <w:pPr>
        <w:pStyle w:val="2"/>
        <w:spacing w:line="540" w:lineRule="exact"/>
        <w:rPr>
          <w:rFonts w:ascii="宋体" w:hAnsi="宋体" w:eastAsia="宋体"/>
          <w:b/>
          <w:sz w:val="28"/>
          <w:szCs w:val="28"/>
        </w:rPr>
      </w:pPr>
      <w:bookmarkStart w:id="21" w:name="_Toc533443309"/>
      <w:r>
        <w:rPr>
          <w:rFonts w:hint="eastAsia" w:ascii="宋体" w:hAnsi="宋体" w:eastAsia="宋体"/>
          <w:b/>
          <w:sz w:val="28"/>
          <w:szCs w:val="28"/>
        </w:rPr>
        <w:t>第六章  施工组织及质量管理</w:t>
      </w:r>
      <w:bookmarkEnd w:id="20"/>
      <w:bookmarkEnd w:id="21"/>
      <w:bookmarkStart w:id="22" w:name="_Toc328124289"/>
    </w:p>
    <w:bookmarkEnd w:id="22"/>
    <w:p>
      <w:pPr>
        <w:pStyle w:val="8"/>
        <w:spacing w:line="540" w:lineRule="exact"/>
        <w:ind w:left="0"/>
        <w:rPr>
          <w:rFonts w:ascii="宋体" w:eastAsia="宋体"/>
          <w:b/>
          <w:sz w:val="24"/>
          <w:szCs w:val="24"/>
        </w:rPr>
      </w:pPr>
      <w:r>
        <w:rPr>
          <w:rFonts w:hint="eastAsia" w:ascii="宋体" w:eastAsia="宋体"/>
          <w:b/>
          <w:sz w:val="24"/>
          <w:szCs w:val="24"/>
        </w:rPr>
        <w:t>6.1、组织管理</w:t>
      </w:r>
    </w:p>
    <w:p>
      <w:pPr>
        <w:pStyle w:val="8"/>
        <w:spacing w:line="540" w:lineRule="exact"/>
        <w:ind w:left="0" w:firstLine="480" w:firstLineChars="200"/>
        <w:rPr>
          <w:rFonts w:ascii="宋体" w:eastAsia="宋体"/>
          <w:sz w:val="24"/>
          <w:szCs w:val="24"/>
        </w:rPr>
      </w:pPr>
      <w:r>
        <w:rPr>
          <w:rFonts w:hint="eastAsia" w:ascii="宋体" w:eastAsia="宋体"/>
          <w:sz w:val="24"/>
          <w:szCs w:val="24"/>
        </w:rPr>
        <w:t>为了使</w:t>
      </w:r>
      <w:r>
        <w:rPr>
          <w:rFonts w:hint="eastAsia" w:ascii="宋体" w:eastAsia="宋体"/>
          <w:sz w:val="24"/>
          <w:szCs w:val="24"/>
          <w:lang w:eastAsia="zh-CN"/>
        </w:rPr>
        <w:t>治安镇西呼拉斯台嘎查农田电力设施配套项目</w:t>
      </w:r>
      <w:r>
        <w:rPr>
          <w:rFonts w:hint="eastAsia" w:ascii="宋体" w:eastAsia="宋体"/>
          <w:sz w:val="24"/>
          <w:szCs w:val="24"/>
        </w:rPr>
        <w:t>顺利实施，达到预期效果，成立</w:t>
      </w:r>
      <w:r>
        <w:rPr>
          <w:rFonts w:hint="eastAsia" w:ascii="宋体" w:eastAsia="宋体"/>
          <w:sz w:val="24"/>
          <w:szCs w:val="24"/>
          <w:lang w:eastAsia="zh-CN"/>
        </w:rPr>
        <w:t>治安镇西呼拉斯台嘎查农田电力设施配套项目</w:t>
      </w:r>
      <w:r>
        <w:rPr>
          <w:rFonts w:hint="eastAsia" w:ascii="宋体" w:eastAsia="宋体"/>
          <w:sz w:val="24"/>
          <w:szCs w:val="24"/>
        </w:rPr>
        <w:t>领导小组，组长由</w:t>
      </w:r>
      <w:r>
        <w:rPr>
          <w:rFonts w:hint="eastAsia" w:ascii="宋体" w:eastAsia="宋体"/>
          <w:sz w:val="24"/>
          <w:szCs w:val="24"/>
          <w:lang w:eastAsia="zh-CN"/>
        </w:rPr>
        <w:t>民族委员会主任</w:t>
      </w:r>
      <w:r>
        <w:rPr>
          <w:rFonts w:hint="eastAsia" w:ascii="宋体" w:eastAsia="宋体"/>
          <w:sz w:val="24"/>
          <w:szCs w:val="24"/>
        </w:rPr>
        <w:t>担任，副组长由分管副</w:t>
      </w:r>
      <w:r>
        <w:rPr>
          <w:rFonts w:hint="eastAsia" w:ascii="宋体" w:eastAsia="宋体"/>
          <w:sz w:val="24"/>
          <w:szCs w:val="24"/>
          <w:lang w:eastAsia="zh-CN"/>
        </w:rPr>
        <w:t>主任</w:t>
      </w:r>
      <w:r>
        <w:rPr>
          <w:rFonts w:hint="eastAsia" w:ascii="宋体" w:eastAsia="宋体"/>
          <w:sz w:val="24"/>
          <w:szCs w:val="24"/>
        </w:rPr>
        <w:t>担任。领导小组下设办公室，办公室设在</w:t>
      </w:r>
      <w:r>
        <w:rPr>
          <w:rFonts w:hint="eastAsia" w:ascii="宋体" w:eastAsia="宋体"/>
          <w:sz w:val="24"/>
          <w:szCs w:val="24"/>
          <w:lang w:eastAsia="zh-CN"/>
        </w:rPr>
        <w:t>民族委员会</w:t>
      </w:r>
      <w:r>
        <w:rPr>
          <w:rFonts w:hint="eastAsia" w:ascii="宋体" w:eastAsia="宋体"/>
          <w:sz w:val="24"/>
          <w:szCs w:val="24"/>
        </w:rPr>
        <w:t>，办公室具体负责</w:t>
      </w:r>
      <w:r>
        <w:rPr>
          <w:rFonts w:hint="eastAsia" w:ascii="宋体" w:eastAsia="宋体"/>
          <w:sz w:val="24"/>
          <w:szCs w:val="24"/>
          <w:lang w:eastAsia="zh-CN"/>
        </w:rPr>
        <w:t>治安镇西呼拉斯台嘎查农田电力设施配套项目</w:t>
      </w:r>
      <w:r>
        <w:rPr>
          <w:rFonts w:hint="eastAsia" w:ascii="宋体" w:eastAsia="宋体"/>
          <w:sz w:val="24"/>
          <w:szCs w:val="24"/>
        </w:rPr>
        <w:t>的统筹规划、协调服务，监督、检查、验收等项目具体工作。</w:t>
      </w:r>
      <w:bookmarkStart w:id="23" w:name="_Toc328124290"/>
    </w:p>
    <w:p>
      <w:pPr>
        <w:pStyle w:val="8"/>
        <w:spacing w:line="540" w:lineRule="exact"/>
        <w:ind w:left="0"/>
        <w:rPr>
          <w:rFonts w:ascii="宋体" w:eastAsia="宋体"/>
          <w:b/>
          <w:sz w:val="24"/>
          <w:szCs w:val="24"/>
        </w:rPr>
      </w:pPr>
      <w:r>
        <w:rPr>
          <w:rFonts w:hint="eastAsia" w:ascii="宋体" w:eastAsia="宋体"/>
          <w:b/>
          <w:sz w:val="24"/>
          <w:szCs w:val="24"/>
        </w:rPr>
        <w:t>6.2、施工管理</w:t>
      </w:r>
      <w:bookmarkEnd w:id="23"/>
    </w:p>
    <w:p>
      <w:pPr>
        <w:spacing w:line="540" w:lineRule="exact"/>
        <w:ind w:firstLine="480" w:firstLineChars="200"/>
        <w:rPr>
          <w:rFonts w:ascii="宋体" w:hAnsi="宋体" w:eastAsia="宋体"/>
          <w:sz w:val="24"/>
          <w:szCs w:val="24"/>
        </w:rPr>
      </w:pPr>
      <w:r>
        <w:rPr>
          <w:rFonts w:hint="eastAsia" w:ascii="宋体" w:hAnsi="宋体" w:eastAsia="宋体"/>
          <w:sz w:val="24"/>
          <w:szCs w:val="24"/>
        </w:rPr>
        <w:t>工程严格按照基本建设项目有关程序建设。</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一是实行招标投标制，严格按照招标投标法面向社会公开公示公告的基础上，通过公开竞标形式确定施工单位。</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二是实行项目法人制，由项目法定代表人对所承建的工程建设、资金使用负全部责任，对工程质量负终身责任。同时要建立相应的机构，建立相应的管理制度，项目法人单位的有关人员素质、内部组织机构，必须满足工程管理和技术要求。</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三是实行合同管理制，工程施工、主要设备及材料采购等，均依法签订合同。各类合同内容要有明确的质量要求，履行担保和违约处罚条款。</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四是实行监理制，监理单位必须配备具备资质的监理人员，要严格履行监理合同规定的各项权利义务，对项目施工全过程及主要设备和材料采购进行全过程监理。未经监理人员签字认可的建筑材料、购置的配件和设备不得在工程上使用或安装，不得进入下一道工序施工，不得拨付工程进度款，不得进行竣工验收。</w:t>
      </w:r>
      <w:bookmarkStart w:id="24" w:name="_Toc328124291"/>
    </w:p>
    <w:p>
      <w:pPr>
        <w:spacing w:line="540" w:lineRule="exact"/>
        <w:rPr>
          <w:rFonts w:ascii="宋体" w:hAnsi="宋体" w:eastAsia="宋体"/>
          <w:b/>
          <w:sz w:val="24"/>
          <w:szCs w:val="24"/>
        </w:rPr>
      </w:pPr>
      <w:r>
        <w:rPr>
          <w:rFonts w:hint="eastAsia" w:ascii="宋体" w:hAnsi="宋体" w:eastAsia="宋体"/>
          <w:b/>
          <w:sz w:val="24"/>
          <w:szCs w:val="24"/>
        </w:rPr>
        <w:t>6.3、施工方法</w:t>
      </w:r>
      <w:bookmarkEnd w:id="24"/>
    </w:p>
    <w:p>
      <w:pPr>
        <w:spacing w:line="540" w:lineRule="exact"/>
        <w:ind w:firstLine="482" w:firstLineChars="200"/>
        <w:rPr>
          <w:rFonts w:ascii="宋体" w:hAnsi="宋体" w:eastAsia="宋体"/>
          <w:color w:val="000000"/>
          <w:sz w:val="24"/>
          <w:szCs w:val="24"/>
        </w:rPr>
      </w:pPr>
      <w:r>
        <w:rPr>
          <w:rFonts w:hint="eastAsia" w:ascii="宋体" w:eastAsia="宋体"/>
          <w:b/>
          <w:color w:val="000000"/>
          <w:sz w:val="24"/>
          <w:szCs w:val="24"/>
        </w:rPr>
        <w:t>6.3.1、</w:t>
      </w:r>
      <w:r>
        <w:rPr>
          <w:rFonts w:hint="eastAsia" w:ascii="宋体" w:hAnsi="宋体" w:eastAsia="宋体"/>
          <w:color w:val="000000"/>
          <w:sz w:val="24"/>
          <w:szCs w:val="24"/>
        </w:rPr>
        <w:t>电力工程施工</w:t>
      </w:r>
    </w:p>
    <w:p>
      <w:pPr>
        <w:spacing w:line="540" w:lineRule="exact"/>
        <w:ind w:firstLine="480" w:firstLineChars="200"/>
        <w:rPr>
          <w:rFonts w:ascii="宋体" w:hAnsi="宋体" w:eastAsia="宋体"/>
          <w:color w:val="000000"/>
          <w:sz w:val="24"/>
          <w:szCs w:val="24"/>
        </w:rPr>
      </w:pPr>
      <w:r>
        <w:rPr>
          <w:rFonts w:ascii="宋体" w:hAnsi="宋体" w:eastAsia="宋体"/>
          <w:bCs/>
          <w:sz w:val="24"/>
          <w:szCs w:val="24"/>
        </w:rPr>
        <w:t>A</w:t>
      </w:r>
      <w:r>
        <w:rPr>
          <w:rFonts w:hint="eastAsia" w:ascii="宋体" w:hAnsi="宋体" w:eastAsia="宋体"/>
          <w:bCs/>
          <w:sz w:val="24"/>
          <w:szCs w:val="24"/>
        </w:rPr>
        <w:t>、线路工程</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一、测量、基础</w:t>
      </w:r>
      <w:r>
        <w:rPr>
          <w:rFonts w:ascii="宋体" w:hAnsi="宋体" w:eastAsia="宋体"/>
          <w:sz w:val="24"/>
          <w:szCs w:val="24"/>
        </w:rPr>
        <w:t xml:space="preserve">   </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）测量用的仪器及量具在使用前必须进行检查，误差超过标准时，应加以校正。</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）以设计勘测钉立的两个相邻直线桩为基准，横线路方向偏差不大于</w:t>
      </w:r>
      <w:r>
        <w:rPr>
          <w:rFonts w:ascii="宋体" w:hAnsi="宋体" w:eastAsia="宋体"/>
          <w:sz w:val="24"/>
          <w:szCs w:val="24"/>
        </w:rPr>
        <w:t>50mm</w:t>
      </w:r>
      <w:r>
        <w:rPr>
          <w:rFonts w:hint="eastAsia" w:ascii="宋体" w:hAnsi="宋体" w:eastAsia="宋体"/>
          <w:sz w:val="24"/>
          <w:szCs w:val="24"/>
        </w:rPr>
        <w:t>。</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）施工测量应根据混凝土杆中心的位置，钉出必要的作为施工及质量检查的辅助桩。</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）混凝土杆基础的坑深以中心桩自然地面为基准。</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）混凝土杆基坑的平面尺寸必须符合设计要求，但土石方开挖应尽量减少破坏需开挖以外的地面，应保护自然植被。</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）拉线盘的埋设，沿拉线方向左右偏差值不超过拉线盘中心至相对应电杆中心水平距离的</w:t>
      </w:r>
      <w:r>
        <w:rPr>
          <w:rFonts w:ascii="宋体" w:hAnsi="宋体" w:eastAsia="宋体"/>
          <w:sz w:val="24"/>
          <w:szCs w:val="24"/>
        </w:rPr>
        <w:t>1</w:t>
      </w:r>
      <w:r>
        <w:rPr>
          <w:rFonts w:hint="eastAsia" w:ascii="宋体" w:hAnsi="宋体" w:eastAsia="宋体"/>
          <w:sz w:val="24"/>
          <w:szCs w:val="24"/>
        </w:rPr>
        <w:t>‰，对地夹角值不应超过设计值</w:t>
      </w:r>
      <w:r>
        <w:rPr>
          <w:rFonts w:ascii="宋体" w:hAnsi="宋体" w:eastAsia="宋体"/>
          <w:sz w:val="24"/>
          <w:szCs w:val="24"/>
        </w:rPr>
        <w:t>1</w:t>
      </w:r>
      <w:r>
        <w:rPr>
          <w:rFonts w:hint="eastAsia" w:ascii="宋体" w:hAnsi="宋体" w:eastAsia="宋体"/>
          <w:sz w:val="24"/>
          <w:szCs w:val="24"/>
        </w:rPr>
        <w:t>°。</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二、混凝土杆</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）运输</w:t>
      </w:r>
    </w:p>
    <w:p>
      <w:pPr>
        <w:snapToGrid w:val="0"/>
        <w:spacing w:line="540" w:lineRule="exact"/>
        <w:ind w:left="-6" w:firstLine="465"/>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尽量使电杆（杆段）的重心与车厢承重中心一致。</w:t>
      </w:r>
    </w:p>
    <w:p>
      <w:pPr>
        <w:snapToGrid w:val="0"/>
        <w:spacing w:line="540" w:lineRule="exact"/>
        <w:ind w:left="-6" w:firstLine="465"/>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把电杆（杆段）用木楔掩牢，并捆绑牢固，注意滚动。</w:t>
      </w:r>
    </w:p>
    <w:p>
      <w:pPr>
        <w:snapToGrid w:val="0"/>
        <w:spacing w:line="540" w:lineRule="exact"/>
        <w:ind w:left="-6" w:firstLine="465"/>
        <w:rPr>
          <w:rFonts w:ascii="宋体" w:hAnsi="宋体" w:eastAsia="宋体"/>
          <w:sz w:val="24"/>
          <w:szCs w:val="24"/>
        </w:rPr>
      </w:pPr>
      <w:r>
        <w:rPr>
          <w:rFonts w:ascii="宋体" w:hAnsi="宋体" w:eastAsia="宋体"/>
          <w:sz w:val="24"/>
          <w:szCs w:val="24"/>
        </w:rPr>
        <w:t>c</w:t>
      </w:r>
      <w:r>
        <w:rPr>
          <w:rFonts w:hint="eastAsia" w:ascii="宋体" w:hAnsi="宋体" w:eastAsia="宋体"/>
          <w:sz w:val="24"/>
          <w:szCs w:val="24"/>
        </w:rPr>
        <w:t>押运人员中途注意检查，预防松动。</w:t>
      </w:r>
    </w:p>
    <w:p>
      <w:pPr>
        <w:snapToGrid w:val="0"/>
        <w:spacing w:line="540" w:lineRule="exact"/>
        <w:ind w:left="-6" w:firstLine="465"/>
        <w:rPr>
          <w:rFonts w:ascii="宋体" w:hAnsi="宋体" w:eastAsia="宋体"/>
          <w:sz w:val="24"/>
          <w:szCs w:val="24"/>
        </w:rPr>
      </w:pPr>
      <w:r>
        <w:rPr>
          <w:rFonts w:ascii="宋体" w:hAnsi="宋体" w:eastAsia="宋体"/>
          <w:sz w:val="24"/>
          <w:szCs w:val="24"/>
        </w:rPr>
        <w:t>d</w:t>
      </w:r>
      <w:r>
        <w:rPr>
          <w:rFonts w:hint="eastAsia" w:ascii="宋体" w:hAnsi="宋体" w:eastAsia="宋体"/>
          <w:sz w:val="24"/>
          <w:szCs w:val="24"/>
        </w:rPr>
        <w:t>超长杆段尾部设标志，并将超长架与杆捆绑牢固。</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）排杆</w:t>
      </w:r>
    </w:p>
    <w:p>
      <w:pPr>
        <w:snapToGrid w:val="0"/>
        <w:spacing w:line="540" w:lineRule="exact"/>
        <w:ind w:left="-6" w:firstLine="465"/>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排杆前对地形地质进行处理后，再进行滚动，滚动前方不得有人。</w:t>
      </w:r>
    </w:p>
    <w:p>
      <w:pPr>
        <w:snapToGrid w:val="0"/>
        <w:spacing w:line="540" w:lineRule="exact"/>
        <w:ind w:left="-6" w:firstLine="465"/>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用棍、杠拨动杆段时防止滑脱伤人，不得用铁撬插入预埋孔内转动杆身。</w:t>
      </w:r>
    </w:p>
    <w:p>
      <w:pPr>
        <w:snapToGrid w:val="0"/>
        <w:spacing w:line="540" w:lineRule="exact"/>
        <w:ind w:left="-6" w:firstLine="465"/>
        <w:rPr>
          <w:rFonts w:ascii="宋体" w:hAnsi="宋体" w:eastAsia="宋体"/>
          <w:sz w:val="24"/>
          <w:szCs w:val="24"/>
        </w:rPr>
      </w:pPr>
      <w:r>
        <w:rPr>
          <w:rFonts w:ascii="宋体" w:hAnsi="宋体" w:eastAsia="宋体"/>
          <w:sz w:val="24"/>
          <w:szCs w:val="24"/>
        </w:rPr>
        <w:t>c</w:t>
      </w:r>
      <w:r>
        <w:rPr>
          <w:rFonts w:hint="eastAsia" w:ascii="宋体" w:hAnsi="宋体" w:eastAsia="宋体"/>
          <w:sz w:val="24"/>
          <w:szCs w:val="24"/>
        </w:rPr>
        <w:t>排杆前先检查杆身</w:t>
      </w:r>
      <w:r>
        <w:rPr>
          <w:rFonts w:ascii="宋体" w:hAnsi="宋体" w:eastAsia="宋体"/>
          <w:sz w:val="24"/>
          <w:szCs w:val="24"/>
        </w:rPr>
        <w:t>(</w:t>
      </w:r>
      <w:r>
        <w:rPr>
          <w:rFonts w:hint="eastAsia" w:ascii="宋体" w:hAnsi="宋体" w:eastAsia="宋体"/>
          <w:sz w:val="24"/>
          <w:szCs w:val="24"/>
        </w:rPr>
        <w:t>杆段</w:t>
      </w:r>
      <w:r>
        <w:rPr>
          <w:rFonts w:ascii="宋体" w:hAnsi="宋体" w:eastAsia="宋体"/>
          <w:sz w:val="24"/>
          <w:szCs w:val="24"/>
        </w:rPr>
        <w:t>)</w:t>
      </w:r>
      <w:r>
        <w:rPr>
          <w:rFonts w:hint="eastAsia" w:ascii="宋体" w:hAnsi="宋体" w:eastAsia="宋体"/>
          <w:sz w:val="24"/>
          <w:szCs w:val="24"/>
        </w:rPr>
        <w:t>是否合格，型号是否与设计相符，对杆身</w:t>
      </w:r>
      <w:r>
        <w:rPr>
          <w:rFonts w:ascii="宋体" w:hAnsi="宋体" w:eastAsia="宋体"/>
          <w:sz w:val="24"/>
          <w:szCs w:val="24"/>
        </w:rPr>
        <w:t>(</w:t>
      </w:r>
      <w:r>
        <w:rPr>
          <w:rFonts w:hint="eastAsia" w:ascii="宋体" w:hAnsi="宋体" w:eastAsia="宋体"/>
          <w:sz w:val="24"/>
          <w:szCs w:val="24"/>
        </w:rPr>
        <w:t>杆段</w:t>
      </w:r>
      <w:r>
        <w:rPr>
          <w:rFonts w:ascii="宋体" w:hAnsi="宋体" w:eastAsia="宋体"/>
          <w:sz w:val="24"/>
          <w:szCs w:val="24"/>
        </w:rPr>
        <w:t>)</w:t>
      </w:r>
      <w:r>
        <w:rPr>
          <w:rFonts w:hint="eastAsia" w:ascii="宋体" w:hAnsi="宋体" w:eastAsia="宋体"/>
          <w:sz w:val="24"/>
          <w:szCs w:val="24"/>
        </w:rPr>
        <w:t>不符合规范要求者不得使用。</w:t>
      </w:r>
    </w:p>
    <w:p>
      <w:pPr>
        <w:snapToGrid w:val="0"/>
        <w:spacing w:line="540" w:lineRule="exact"/>
        <w:ind w:left="-6" w:firstLine="465"/>
        <w:rPr>
          <w:rFonts w:ascii="宋体" w:hAnsi="宋体" w:eastAsia="宋体"/>
          <w:sz w:val="24"/>
          <w:szCs w:val="24"/>
        </w:rPr>
      </w:pPr>
      <w:r>
        <w:rPr>
          <w:rFonts w:ascii="宋体" w:hAnsi="宋体" w:eastAsia="宋体"/>
          <w:sz w:val="24"/>
          <w:szCs w:val="24"/>
        </w:rPr>
        <w:t>d</w:t>
      </w:r>
      <w:r>
        <w:rPr>
          <w:rFonts w:hint="eastAsia" w:ascii="宋体" w:hAnsi="宋体" w:eastAsia="宋体"/>
          <w:sz w:val="24"/>
          <w:szCs w:val="24"/>
        </w:rPr>
        <w:t>在排杆过程中，地形高差大的地段应搭设架子处理，对高差不太大的可降基面或袋装土层垛起支撑电杆。</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）混凝土杆组立</w:t>
      </w:r>
    </w:p>
    <w:p>
      <w:pPr>
        <w:snapToGrid w:val="0"/>
        <w:spacing w:line="540" w:lineRule="exact"/>
        <w:ind w:left="-6" w:firstLine="465"/>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采用吊车组立杆塔时，吊件及吊臂下严禁站人或穿越，在施工中除必要人员外，其他人员应离开杆段高度的</w:t>
      </w:r>
      <w:r>
        <w:rPr>
          <w:rFonts w:ascii="宋体" w:hAnsi="宋体" w:eastAsia="宋体"/>
          <w:sz w:val="24"/>
          <w:szCs w:val="24"/>
        </w:rPr>
        <w:t>1.2</w:t>
      </w:r>
      <w:r>
        <w:rPr>
          <w:rFonts w:hint="eastAsia" w:ascii="宋体" w:hAnsi="宋体" w:eastAsia="宋体"/>
          <w:sz w:val="24"/>
          <w:szCs w:val="24"/>
        </w:rPr>
        <w:t>倍以外。</w:t>
      </w:r>
    </w:p>
    <w:p>
      <w:pPr>
        <w:snapToGrid w:val="0"/>
        <w:spacing w:line="540" w:lineRule="exact"/>
        <w:ind w:left="-6" w:firstLine="465"/>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用人字形倒落式抱杆起立时，抱杆两根部必须在同一水平面上，并用钢丝绳相互连接牢，受力后发生不均匀沉降时，及时调整，抱杆脱帽应设专人控制其脱落。</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三、架线</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）在带电体附近作业时，人体离带电体最小距离</w:t>
      </w:r>
      <w:r>
        <w:rPr>
          <w:rFonts w:ascii="宋体" w:hAnsi="宋体" w:eastAsia="宋体"/>
          <w:sz w:val="24"/>
          <w:szCs w:val="24"/>
        </w:rPr>
        <w:t>10kV</w:t>
      </w:r>
      <w:r>
        <w:rPr>
          <w:rFonts w:hint="eastAsia" w:ascii="宋体" w:hAnsi="宋体" w:eastAsia="宋体"/>
          <w:sz w:val="24"/>
          <w:szCs w:val="24"/>
        </w:rPr>
        <w:t>及以下，安全距离不小于0.4</w:t>
      </w:r>
      <w:r>
        <w:rPr>
          <w:rFonts w:ascii="宋体" w:hAnsi="宋体" w:eastAsia="宋体"/>
          <w:sz w:val="24"/>
          <w:szCs w:val="24"/>
        </w:rPr>
        <w:t>m</w:t>
      </w:r>
      <w:r>
        <w:rPr>
          <w:rFonts w:hint="eastAsia" w:ascii="宋体" w:hAnsi="宋体" w:eastAsia="宋体"/>
          <w:sz w:val="24"/>
          <w:szCs w:val="24"/>
        </w:rPr>
        <w:t>，35</w:t>
      </w:r>
      <w:r>
        <w:rPr>
          <w:rFonts w:ascii="宋体" w:hAnsi="宋体" w:eastAsia="宋体"/>
          <w:sz w:val="24"/>
          <w:szCs w:val="24"/>
        </w:rPr>
        <w:t>kV</w:t>
      </w:r>
      <w:r>
        <w:rPr>
          <w:rFonts w:hint="eastAsia" w:ascii="宋体" w:hAnsi="宋体" w:eastAsia="宋体"/>
          <w:sz w:val="24"/>
          <w:szCs w:val="24"/>
        </w:rPr>
        <w:t>不得小于0.6</w:t>
      </w:r>
      <w:r>
        <w:rPr>
          <w:rFonts w:ascii="宋体" w:hAnsi="宋体" w:eastAsia="宋体"/>
          <w:sz w:val="24"/>
          <w:szCs w:val="24"/>
        </w:rPr>
        <w:t>m</w:t>
      </w:r>
      <w:r>
        <w:rPr>
          <w:rFonts w:hint="eastAsia" w:ascii="宋体" w:hAnsi="宋体" w:eastAsia="宋体"/>
          <w:sz w:val="24"/>
          <w:szCs w:val="24"/>
        </w:rPr>
        <w:t>。</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）不停电作业时，作业人员不得从跨越线架的内侧攀登作业。过线必须用绝缘绳作引牵，引牵时架上不得有人。</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）停电作业作业前必须有专人向运行单位提出停电申请，并办理工作票，严禁口头或约时停送电。</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）停电后工作人员必须先进行验电，验电时必须带绝缘手套，必须用同等的验电器必须设专人监护。先验下层后验上层，验明无电时，将三相短路挂接地线。</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）恢复线路时，应先拆上层，后拆下层，施工结束现场负责人必须对现场进行全面检查，确认无误后方可离开现场。</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）拖拉机牵引放线时，行驶速度不得过快，司机应随时注意指挥信号，不得沿沟边、横坡及险要的地方行驶。</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）放线过程，除护线人员外，对路口、外露岩石越线架均设专人监护。</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）导线需爆压时，导火索长度不得小于</w:t>
      </w:r>
      <w:r>
        <w:rPr>
          <w:rFonts w:ascii="宋体" w:hAnsi="宋体" w:eastAsia="宋体"/>
          <w:sz w:val="24"/>
          <w:szCs w:val="24"/>
        </w:rPr>
        <w:t>500mm</w:t>
      </w:r>
      <w:r>
        <w:rPr>
          <w:rFonts w:hint="eastAsia" w:ascii="宋体" w:hAnsi="宋体" w:eastAsia="宋体"/>
          <w:sz w:val="24"/>
          <w:szCs w:val="24"/>
        </w:rPr>
        <w:t>，其长度必须保证操作撤离安全区，点火时除点火人员外其余人撤离现场至药包</w:t>
      </w:r>
      <w:r>
        <w:rPr>
          <w:rFonts w:ascii="宋体" w:hAnsi="宋体" w:eastAsia="宋体"/>
          <w:sz w:val="24"/>
          <w:szCs w:val="24"/>
        </w:rPr>
        <w:t>30m</w:t>
      </w:r>
      <w:r>
        <w:rPr>
          <w:rFonts w:hint="eastAsia" w:ascii="宋体" w:hAnsi="宋体" w:eastAsia="宋体"/>
          <w:sz w:val="24"/>
          <w:szCs w:val="24"/>
        </w:rPr>
        <w:t>以外。（应该删除）</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）导线紧线前，应对紧线杆塔的临时拉线以及临锚进行检查</w:t>
      </w:r>
      <w:r>
        <w:rPr>
          <w:rFonts w:ascii="宋体" w:hAnsi="宋体" w:eastAsia="宋体"/>
          <w:sz w:val="24"/>
          <w:szCs w:val="24"/>
        </w:rPr>
        <w:t>,</w:t>
      </w:r>
      <w:r>
        <w:rPr>
          <w:rFonts w:hint="eastAsia" w:ascii="宋体" w:hAnsi="宋体" w:eastAsia="宋体"/>
          <w:sz w:val="24"/>
          <w:szCs w:val="24"/>
        </w:rPr>
        <w:t>杆塔螺栓紧固部件齐全，紧线过程中导地线悬空垂直下方严禁站人，不得跨越离开地面的导地线。</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）传递信号必须清晰，擅自离岗，如出现信号中断，未取得指挥人员的命令前，不得下令牵引立即停止。</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11</w:t>
      </w:r>
      <w:r>
        <w:rPr>
          <w:rFonts w:hint="eastAsia" w:ascii="宋体" w:hAnsi="宋体" w:eastAsia="宋体"/>
          <w:sz w:val="24"/>
          <w:szCs w:val="24"/>
        </w:rPr>
        <w:t>）安装前，把所有的工器具，安全用具必须检查，检查合格后方可使用。</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12</w:t>
      </w:r>
      <w:r>
        <w:rPr>
          <w:rFonts w:hint="eastAsia" w:ascii="宋体" w:hAnsi="宋体" w:eastAsia="宋体"/>
          <w:sz w:val="24"/>
          <w:szCs w:val="24"/>
        </w:rPr>
        <w:t>）高空作业安全带必须栓在横担主材上，紧线作业时，采取可靠的安全措施。</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13</w:t>
      </w:r>
      <w:r>
        <w:rPr>
          <w:rFonts w:hint="eastAsia" w:ascii="宋体" w:hAnsi="宋体" w:eastAsia="宋体"/>
          <w:sz w:val="24"/>
          <w:szCs w:val="24"/>
        </w:rPr>
        <w:t>）导线展放中，要认真观察导线有无损伤，有</w:t>
      </w:r>
      <w:bookmarkStart w:id="36" w:name="_GoBack"/>
      <w:bookmarkEnd w:id="36"/>
      <w:r>
        <w:rPr>
          <w:rFonts w:hint="eastAsia" w:ascii="宋体" w:hAnsi="宋体" w:eastAsia="宋体"/>
          <w:sz w:val="24"/>
          <w:szCs w:val="24"/>
        </w:rPr>
        <w:t>无断裂及其它缺陷的地方，采取处理后方可展放。</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14</w:t>
      </w:r>
      <w:r>
        <w:rPr>
          <w:rFonts w:hint="eastAsia" w:ascii="宋体" w:hAnsi="宋体" w:eastAsia="宋体"/>
          <w:sz w:val="24"/>
          <w:szCs w:val="24"/>
        </w:rPr>
        <w:t>）导线损伤大于截面的</w:t>
      </w:r>
      <w:r>
        <w:rPr>
          <w:rFonts w:ascii="宋体" w:hAnsi="宋体" w:eastAsia="宋体"/>
          <w:sz w:val="24"/>
          <w:szCs w:val="24"/>
        </w:rPr>
        <w:t>5%</w:t>
      </w:r>
      <w:r>
        <w:rPr>
          <w:rFonts w:hint="eastAsia" w:ascii="宋体" w:hAnsi="宋体" w:eastAsia="宋体"/>
          <w:sz w:val="24"/>
          <w:szCs w:val="24"/>
        </w:rPr>
        <w:t>，且强度损失</w:t>
      </w:r>
      <w:r>
        <w:rPr>
          <w:rFonts w:ascii="宋体" w:hAnsi="宋体" w:eastAsia="宋体"/>
          <w:sz w:val="24"/>
          <w:szCs w:val="24"/>
        </w:rPr>
        <w:t>4%</w:t>
      </w:r>
      <w:r>
        <w:rPr>
          <w:rFonts w:hint="eastAsia" w:ascii="宋体" w:hAnsi="宋体" w:eastAsia="宋体"/>
          <w:sz w:val="24"/>
          <w:szCs w:val="24"/>
        </w:rPr>
        <w:t>的情况下可采取</w:t>
      </w:r>
      <w:r>
        <w:rPr>
          <w:rFonts w:ascii="宋体" w:hAnsi="宋体" w:eastAsia="宋体"/>
          <w:sz w:val="24"/>
          <w:szCs w:val="24"/>
        </w:rPr>
        <w:t>0</w:t>
      </w:r>
      <w:r>
        <w:rPr>
          <w:rFonts w:hint="eastAsia" w:ascii="宋体" w:hAnsi="宋体" w:eastAsia="宋体"/>
          <w:sz w:val="24"/>
          <w:szCs w:val="24"/>
        </w:rPr>
        <w:t>＃砂布磨光方可紧线。</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15</w:t>
      </w:r>
      <w:r>
        <w:rPr>
          <w:rFonts w:hint="eastAsia" w:ascii="宋体" w:hAnsi="宋体" w:eastAsia="宋体"/>
          <w:sz w:val="24"/>
          <w:szCs w:val="24"/>
        </w:rPr>
        <w:t>）导线需要接续时必须持有证的技术人员担任，并在接续管上打上操作人员的钢印号。</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16</w:t>
      </w:r>
      <w:r>
        <w:rPr>
          <w:rFonts w:hint="eastAsia" w:ascii="宋体" w:hAnsi="宋体" w:eastAsia="宋体"/>
          <w:sz w:val="24"/>
          <w:szCs w:val="24"/>
        </w:rPr>
        <w:t>）每一个档内导线只允许有一个接续管，但无论是接续管与耐张线夹的距离不得小于</w:t>
      </w:r>
      <w:r>
        <w:rPr>
          <w:rFonts w:ascii="宋体" w:hAnsi="宋体" w:eastAsia="宋体"/>
          <w:sz w:val="24"/>
          <w:szCs w:val="24"/>
        </w:rPr>
        <w:t>5m</w:t>
      </w:r>
      <w:r>
        <w:rPr>
          <w:rFonts w:hint="eastAsia" w:ascii="宋体" w:hAnsi="宋体" w:eastAsia="宋体"/>
          <w:sz w:val="24"/>
          <w:szCs w:val="24"/>
        </w:rPr>
        <w:t>。</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17</w:t>
      </w:r>
      <w:r>
        <w:rPr>
          <w:rFonts w:hint="eastAsia" w:ascii="宋体" w:hAnsi="宋体" w:eastAsia="宋体"/>
          <w:sz w:val="24"/>
          <w:szCs w:val="24"/>
        </w:rPr>
        <w:t>）绝缘子安装前，将每片表面擦干净，外观检查合格后进行绝缘测定，在干燥的情况下，绝缘电阻不合格者不得安装使用。</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18</w:t>
      </w:r>
      <w:r>
        <w:rPr>
          <w:rFonts w:hint="eastAsia" w:ascii="宋体" w:hAnsi="宋体" w:eastAsia="宋体"/>
          <w:sz w:val="24"/>
          <w:szCs w:val="24"/>
        </w:rPr>
        <w:t>）线路耐张、终端杆应水平架设。线路分段开关（分段开关架必须用耐张担）须装设在直线耐张杆上（单设分段开关架）或</w:t>
      </w:r>
      <w:r>
        <w:rPr>
          <w:rFonts w:ascii="宋体" w:hAnsi="宋体" w:eastAsia="宋体"/>
          <w:sz w:val="24"/>
          <w:szCs w:val="24"/>
        </w:rPr>
        <w:t>T</w:t>
      </w:r>
      <w:r>
        <w:rPr>
          <w:rFonts w:hint="eastAsia" w:ascii="宋体" w:hAnsi="宋体" w:eastAsia="宋体"/>
          <w:sz w:val="24"/>
          <w:szCs w:val="24"/>
        </w:rPr>
        <w:t>接杆上</w:t>
      </w:r>
      <w:r>
        <w:rPr>
          <w:rFonts w:ascii="宋体" w:hAnsi="宋体" w:eastAsia="宋体"/>
          <w:sz w:val="24"/>
          <w:szCs w:val="24"/>
        </w:rPr>
        <w:t xml:space="preserve"> (</w:t>
      </w:r>
      <w:r>
        <w:rPr>
          <w:rFonts w:hint="eastAsia" w:ascii="宋体" w:hAnsi="宋体" w:eastAsia="宋体"/>
          <w:sz w:val="24"/>
          <w:szCs w:val="24"/>
        </w:rPr>
        <w:t>分段开关架代替耐张担</w:t>
      </w:r>
      <w:r>
        <w:rPr>
          <w:rFonts w:ascii="宋体" w:hAnsi="宋体" w:eastAsia="宋体"/>
          <w:sz w:val="24"/>
          <w:szCs w:val="24"/>
        </w:rPr>
        <w:t>)</w:t>
      </w:r>
      <w:r>
        <w:rPr>
          <w:rFonts w:hint="eastAsia" w:ascii="宋体" w:hAnsi="宋体" w:eastAsia="宋体"/>
          <w:sz w:val="24"/>
          <w:szCs w:val="24"/>
        </w:rPr>
        <w:t>，禁止装在＋字杆上。</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19</w:t>
      </w:r>
      <w:r>
        <w:rPr>
          <w:rFonts w:hint="eastAsia" w:ascii="宋体" w:hAnsi="宋体" w:eastAsia="宋体"/>
          <w:sz w:val="24"/>
          <w:szCs w:val="24"/>
        </w:rPr>
        <w:t>）立瓶，导线的连接金具上下螺栓穿钉及弹簧销子，除有固定的穿向外，其余穿向应统一，悬垂串上的弹簧销子，一律向受电侧穿入，特殊情况下两边线由内向外，中线由左向右穿入。</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20</w:t>
      </w:r>
      <w:r>
        <w:rPr>
          <w:rFonts w:hint="eastAsia" w:ascii="宋体" w:hAnsi="宋体" w:eastAsia="宋体"/>
          <w:sz w:val="24"/>
          <w:szCs w:val="24"/>
        </w:rPr>
        <w:t>）导线固定、线夹安装时必须缠绕铝包带，其缠绕方向应与外层铝绞制方向一致，所缠绕铝包带必须露出夹口</w:t>
      </w:r>
      <w:r>
        <w:rPr>
          <w:rFonts w:ascii="宋体" w:hAnsi="宋体" w:eastAsia="宋体"/>
          <w:sz w:val="24"/>
          <w:szCs w:val="24"/>
        </w:rPr>
        <w:t>10mm</w:t>
      </w:r>
      <w:r>
        <w:rPr>
          <w:rFonts w:hint="eastAsia" w:ascii="宋体" w:hAnsi="宋体" w:eastAsia="宋体"/>
          <w:sz w:val="24"/>
          <w:szCs w:val="24"/>
        </w:rPr>
        <w:t>端头应回夹于线夹内压住。引下线的连接须采用相应规格并沟线夹（等径或异径），且并沟线夹沟内须涂抺电力复合脂（不准缠绕铝包带）。</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21</w:t>
      </w:r>
      <w:r>
        <w:rPr>
          <w:rFonts w:hint="eastAsia" w:ascii="宋体" w:hAnsi="宋体" w:eastAsia="宋体"/>
          <w:sz w:val="24"/>
          <w:szCs w:val="24"/>
        </w:rPr>
        <w:t>）弧垂观察时，应按实测温度并按设计要求确定弛度，其弧垂偏差</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-2.5%</w:t>
      </w:r>
      <w:r>
        <w:rPr>
          <w:rFonts w:hint="eastAsia" w:ascii="宋体" w:hAnsi="宋体" w:eastAsia="宋体"/>
          <w:sz w:val="24"/>
          <w:szCs w:val="24"/>
        </w:rPr>
        <w:t>。</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22</w:t>
      </w:r>
      <w:r>
        <w:rPr>
          <w:rFonts w:hint="eastAsia" w:ascii="宋体" w:hAnsi="宋体" w:eastAsia="宋体"/>
          <w:sz w:val="24"/>
          <w:szCs w:val="24"/>
        </w:rPr>
        <w:t>）跨越道路、线路档内不允许有接头。</w:t>
      </w:r>
    </w:p>
    <w:p>
      <w:pPr>
        <w:adjustRightInd w:val="0"/>
        <w:snapToGrid w:val="0"/>
        <w:spacing w:beforeLines="50" w:afterLines="50" w:line="540" w:lineRule="exact"/>
        <w:ind w:left="-6"/>
        <w:rPr>
          <w:rFonts w:ascii="宋体" w:hAnsi="宋体" w:eastAsia="宋体"/>
          <w:bCs/>
          <w:sz w:val="24"/>
          <w:szCs w:val="24"/>
        </w:rPr>
      </w:pPr>
      <w:r>
        <w:rPr>
          <w:rFonts w:ascii="宋体" w:hAnsi="宋体" w:eastAsia="宋体"/>
          <w:bCs/>
          <w:sz w:val="24"/>
          <w:szCs w:val="24"/>
        </w:rPr>
        <w:t>B</w:t>
      </w:r>
      <w:r>
        <w:rPr>
          <w:rFonts w:hint="eastAsia" w:ascii="宋体" w:hAnsi="宋体" w:eastAsia="宋体"/>
          <w:bCs/>
          <w:sz w:val="24"/>
          <w:szCs w:val="24"/>
        </w:rPr>
        <w:t>、变压器安装和接地体连接</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一、变压器的检测安装</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）到货检查，变压器箱体外观良好，器身压力正常，冲击记录仪记录值在正常范围内；变压器安装附件、备品及备件、安装专用工具齐全无损伤，制造商技术资料齐全，绝缘油出厂试验结论合格。</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）变压器零线须全部采用防老化线（包括中性点接地引线）中间不准有断点（破皮后双折，不准缠绕铝包带或绑线）。</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）跌落开关上下端与导线连接处须采用铜铝过渡接线端子，并且适当加大上端预留线（上返</w:t>
      </w:r>
      <w:r>
        <w:rPr>
          <w:rFonts w:ascii="宋体" w:hAnsi="宋体" w:eastAsia="宋体"/>
          <w:sz w:val="24"/>
          <w:szCs w:val="24"/>
        </w:rPr>
        <w:t>20</w:t>
      </w:r>
      <w:r>
        <w:rPr>
          <w:rFonts w:hint="eastAsia" w:ascii="宋体" w:hAnsi="宋体" w:eastAsia="宋体"/>
          <w:sz w:val="24"/>
          <w:szCs w:val="24"/>
        </w:rPr>
        <w:t>－</w:t>
      </w:r>
      <w:r>
        <w:rPr>
          <w:rFonts w:ascii="宋体" w:hAnsi="宋体" w:eastAsia="宋体"/>
          <w:sz w:val="24"/>
          <w:szCs w:val="24"/>
        </w:rPr>
        <w:t>30cm</w:t>
      </w:r>
      <w:r>
        <w:rPr>
          <w:rFonts w:hint="eastAsia" w:ascii="宋体" w:hAnsi="宋体" w:eastAsia="宋体"/>
          <w:sz w:val="24"/>
          <w:szCs w:val="24"/>
        </w:rPr>
        <w:t>后绑扎</w:t>
      </w:r>
      <w:r>
        <w:rPr>
          <w:rFonts w:ascii="宋体" w:hAnsi="宋体" w:eastAsia="宋体"/>
          <w:sz w:val="24"/>
          <w:szCs w:val="24"/>
        </w:rPr>
        <w:t>10</w:t>
      </w:r>
      <w:r>
        <w:rPr>
          <w:rFonts w:hint="eastAsia" w:ascii="宋体" w:hAnsi="宋体" w:eastAsia="宋体"/>
          <w:sz w:val="24"/>
          <w:szCs w:val="24"/>
        </w:rPr>
        <w:t>道）。</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）变压器高压引线从跌落开关下端开始至变压器高压套管，中间不允许有断点。在避雷器支架侧距立瓶</w:t>
      </w:r>
      <w:r>
        <w:rPr>
          <w:rFonts w:ascii="宋体" w:hAnsi="宋体" w:eastAsia="宋体"/>
          <w:sz w:val="24"/>
          <w:szCs w:val="24"/>
        </w:rPr>
        <w:t>5cm</w:t>
      </w:r>
      <w:r>
        <w:rPr>
          <w:rFonts w:hint="eastAsia" w:ascii="宋体" w:hAnsi="宋体" w:eastAsia="宋体"/>
          <w:sz w:val="24"/>
          <w:szCs w:val="24"/>
        </w:rPr>
        <w:t>处将横母线（单线）破皮</w:t>
      </w:r>
      <w:r>
        <w:rPr>
          <w:rFonts w:ascii="宋体" w:hAnsi="宋体" w:eastAsia="宋体"/>
          <w:sz w:val="24"/>
          <w:szCs w:val="24"/>
        </w:rPr>
        <w:t>10cm</w:t>
      </w:r>
      <w:r>
        <w:rPr>
          <w:rFonts w:hint="eastAsia" w:ascii="宋体" w:hAnsi="宋体" w:eastAsia="宋体"/>
          <w:sz w:val="24"/>
          <w:szCs w:val="24"/>
        </w:rPr>
        <w:t>，并用裸导线紧密绑扎（用于挂接地线）。避雷器支架侧立瓶的导线须分两侧绑扎，立瓶与避雷器之间的连线须有</w:t>
      </w:r>
      <w:r>
        <w:rPr>
          <w:rFonts w:ascii="宋体" w:hAnsi="宋体" w:eastAsia="宋体"/>
          <w:sz w:val="24"/>
          <w:szCs w:val="24"/>
        </w:rPr>
        <w:t>10cm</w:t>
      </w:r>
      <w:r>
        <w:rPr>
          <w:rFonts w:hint="eastAsia" w:ascii="宋体" w:hAnsi="宋体" w:eastAsia="宋体"/>
          <w:sz w:val="24"/>
          <w:szCs w:val="24"/>
        </w:rPr>
        <w:t>高预留线。避雷器接地引线应使用</w:t>
      </w:r>
      <w:r>
        <w:rPr>
          <w:rFonts w:ascii="宋体" w:hAnsi="宋体" w:eastAsia="宋体"/>
          <w:sz w:val="24"/>
          <w:szCs w:val="24"/>
        </w:rPr>
        <w:t>252</w:t>
      </w:r>
      <w:r>
        <w:rPr>
          <w:rFonts w:hint="eastAsia" w:ascii="宋体" w:hAnsi="宋体" w:eastAsia="宋体"/>
          <w:sz w:val="24"/>
          <w:szCs w:val="24"/>
        </w:rPr>
        <w:t>或</w:t>
      </w:r>
      <w:r>
        <w:rPr>
          <w:rFonts w:ascii="宋体" w:hAnsi="宋体" w:eastAsia="宋体"/>
          <w:sz w:val="24"/>
          <w:szCs w:val="24"/>
        </w:rPr>
        <w:t>352</w:t>
      </w:r>
      <w:r>
        <w:rPr>
          <w:rFonts w:hint="eastAsia" w:ascii="宋体" w:hAnsi="宋体" w:eastAsia="宋体"/>
          <w:sz w:val="24"/>
          <w:szCs w:val="24"/>
        </w:rPr>
        <w:t>防老化线，并固定在避雷器架角钢下平面。高压引下线两边相打回头绑扎。跌落开关引出线与高压套管引线相对应。</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）变压器高、低压侧与铝导线连接采用铜铝过渡线夹。</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）从低压咀到低压刀开关上口采用</w:t>
      </w:r>
      <w:r>
        <w:rPr>
          <w:rFonts w:ascii="宋体" w:hAnsi="宋体" w:eastAsia="宋体"/>
          <w:sz w:val="24"/>
          <w:szCs w:val="24"/>
        </w:rPr>
        <w:t>35</w:t>
      </w:r>
      <w:r>
        <w:rPr>
          <w:rFonts w:hint="eastAsia" w:ascii="宋体" w:hAnsi="宋体" w:eastAsia="宋体"/>
          <w:sz w:val="24"/>
          <w:szCs w:val="24"/>
        </w:rPr>
        <w:t>mm</w:t>
      </w:r>
      <w:r>
        <w:rPr>
          <w:rFonts w:hint="eastAsia" w:ascii="宋体" w:hAnsi="宋体" w:eastAsia="宋体"/>
          <w:sz w:val="24"/>
          <w:szCs w:val="24"/>
          <w:vertAlign w:val="superscript"/>
        </w:rPr>
        <w:t>2</w:t>
      </w:r>
      <w:r>
        <w:rPr>
          <w:rFonts w:hint="eastAsia" w:ascii="宋体" w:hAnsi="宋体" w:eastAsia="宋体"/>
          <w:sz w:val="24"/>
          <w:szCs w:val="24"/>
        </w:rPr>
        <w:t>及以上防老化线</w:t>
      </w:r>
      <w:r>
        <w:rPr>
          <w:rFonts w:ascii="宋体" w:hAnsi="宋体" w:eastAsia="宋体"/>
          <w:sz w:val="24"/>
          <w:szCs w:val="24"/>
        </w:rPr>
        <w:t>(50</w:t>
      </w:r>
      <w:r>
        <w:rPr>
          <w:rFonts w:hint="eastAsia" w:ascii="宋体" w:hAnsi="宋体" w:eastAsia="宋体"/>
          <w:sz w:val="24"/>
          <w:szCs w:val="24"/>
        </w:rPr>
        <w:t>k</w:t>
      </w:r>
      <w:r>
        <w:rPr>
          <w:rFonts w:ascii="宋体" w:hAnsi="宋体" w:eastAsia="宋体"/>
          <w:sz w:val="24"/>
          <w:szCs w:val="24"/>
        </w:rPr>
        <w:t>VA</w:t>
      </w:r>
      <w:r>
        <w:rPr>
          <w:rFonts w:hint="eastAsia" w:ascii="宋体" w:hAnsi="宋体" w:eastAsia="宋体"/>
          <w:sz w:val="24"/>
          <w:szCs w:val="24"/>
        </w:rPr>
        <w:t>及以下用</w:t>
      </w:r>
      <w:r>
        <w:rPr>
          <w:rFonts w:ascii="宋体" w:hAnsi="宋体" w:eastAsia="宋体"/>
          <w:sz w:val="24"/>
          <w:szCs w:val="24"/>
        </w:rPr>
        <w:t>35</w:t>
      </w:r>
      <w:r>
        <w:rPr>
          <w:rFonts w:hint="eastAsia" w:ascii="宋体" w:hAnsi="宋体" w:eastAsia="宋体"/>
          <w:sz w:val="24"/>
          <w:szCs w:val="24"/>
        </w:rPr>
        <w:t>mm</w:t>
      </w:r>
      <w:r>
        <w:rPr>
          <w:rFonts w:hint="eastAsia" w:ascii="宋体" w:hAnsi="宋体" w:eastAsia="宋体"/>
          <w:sz w:val="24"/>
          <w:szCs w:val="24"/>
          <w:vertAlign w:val="superscript"/>
        </w:rPr>
        <w:t>2</w:t>
      </w:r>
      <w:r>
        <w:rPr>
          <w:rFonts w:hint="eastAsia" w:ascii="宋体" w:hAnsi="宋体" w:eastAsia="宋体"/>
          <w:sz w:val="24"/>
          <w:szCs w:val="24"/>
        </w:rPr>
        <w:t>线、</w:t>
      </w:r>
      <w:r>
        <w:rPr>
          <w:rFonts w:ascii="宋体" w:hAnsi="宋体" w:eastAsia="宋体"/>
          <w:sz w:val="24"/>
          <w:szCs w:val="24"/>
        </w:rPr>
        <w:t>50kVA</w:t>
      </w:r>
      <w:r>
        <w:rPr>
          <w:rFonts w:hint="eastAsia" w:ascii="宋体" w:hAnsi="宋体" w:eastAsia="宋体"/>
          <w:sz w:val="24"/>
          <w:szCs w:val="24"/>
        </w:rPr>
        <w:t>以上用</w:t>
      </w:r>
      <w:r>
        <w:rPr>
          <w:rFonts w:ascii="宋体" w:hAnsi="宋体" w:eastAsia="宋体"/>
          <w:sz w:val="24"/>
          <w:szCs w:val="24"/>
        </w:rPr>
        <w:t>5</w:t>
      </w:r>
      <w:r>
        <w:rPr>
          <w:rFonts w:hint="eastAsia" w:ascii="宋体" w:hAnsi="宋体" w:eastAsia="宋体"/>
          <w:sz w:val="24"/>
          <w:szCs w:val="24"/>
        </w:rPr>
        <w:t>0mm</w:t>
      </w:r>
      <w:r>
        <w:rPr>
          <w:rFonts w:hint="eastAsia" w:ascii="宋体" w:hAnsi="宋体" w:eastAsia="宋体"/>
          <w:sz w:val="24"/>
          <w:szCs w:val="24"/>
          <w:vertAlign w:val="superscript"/>
        </w:rPr>
        <w:t>2</w:t>
      </w:r>
      <w:r>
        <w:rPr>
          <w:rFonts w:hint="eastAsia" w:ascii="宋体" w:hAnsi="宋体" w:eastAsia="宋体"/>
          <w:sz w:val="24"/>
          <w:szCs w:val="24"/>
        </w:rPr>
        <w:t>线</w:t>
      </w:r>
      <w:r>
        <w:rPr>
          <w:rFonts w:ascii="宋体" w:hAnsi="宋体" w:eastAsia="宋体"/>
          <w:sz w:val="24"/>
          <w:szCs w:val="24"/>
        </w:rPr>
        <w:t>)</w:t>
      </w:r>
      <w:r>
        <w:rPr>
          <w:rFonts w:hint="eastAsia" w:ascii="宋体" w:hAnsi="宋体" w:eastAsia="宋体"/>
          <w:sz w:val="24"/>
          <w:szCs w:val="24"/>
        </w:rPr>
        <w:t>；低压刀开关下口与低压线路连接，采用四芯等芯电缆，并且电缆颜色应与相序相符（</w:t>
      </w:r>
      <w:r>
        <w:rPr>
          <w:rFonts w:ascii="宋体" w:hAnsi="宋体" w:eastAsia="宋体"/>
          <w:sz w:val="24"/>
          <w:szCs w:val="24"/>
        </w:rPr>
        <w:t>ABCN,</w:t>
      </w:r>
      <w:r>
        <w:rPr>
          <w:rFonts w:hint="eastAsia" w:ascii="宋体" w:hAnsi="宋体" w:eastAsia="宋体"/>
          <w:sz w:val="24"/>
          <w:szCs w:val="24"/>
        </w:rPr>
        <w:t>黄、绿、红、蓝）。与低压四线连接处采用</w:t>
      </w:r>
      <w:r>
        <w:rPr>
          <w:rFonts w:ascii="宋体" w:hAnsi="宋体" w:eastAsia="宋体"/>
          <w:sz w:val="24"/>
          <w:szCs w:val="24"/>
        </w:rPr>
        <w:t>2</w:t>
      </w:r>
      <w:r>
        <w:rPr>
          <w:rFonts w:hint="eastAsia" w:ascii="宋体" w:hAnsi="宋体" w:eastAsia="宋体"/>
          <w:sz w:val="24"/>
          <w:szCs w:val="24"/>
        </w:rPr>
        <w:t>个并沟线夹或一个</w:t>
      </w:r>
      <w:r>
        <w:rPr>
          <w:rFonts w:ascii="宋体" w:hAnsi="宋体" w:eastAsia="宋体"/>
          <w:sz w:val="24"/>
          <w:szCs w:val="24"/>
        </w:rPr>
        <w:t>T</w:t>
      </w:r>
      <w:r>
        <w:rPr>
          <w:rFonts w:hint="eastAsia" w:ascii="宋体" w:hAnsi="宋体" w:eastAsia="宋体"/>
          <w:sz w:val="24"/>
          <w:szCs w:val="24"/>
        </w:rPr>
        <w:t>型线夹（涂抺电力复合脂）。线路走向：首先从低压咀用防老化线直接引至低压开关架侧瓶打回头绑扎，再穿过电流互感器，按变压器二次额定电流确定配比，进行一次穿芯后，在低压开关架顶瓶打回头绑扎后用铜铝过渡线鼻子紧固在低压刀上口；从低压刀下口引出电缆线在低压开关架顶瓶上固定，顺开关架引至电杆再用二个抱箍卡好</w:t>
      </w:r>
      <w:r>
        <w:rPr>
          <w:rFonts w:ascii="宋体" w:hAnsi="宋体" w:eastAsia="宋体"/>
          <w:sz w:val="24"/>
          <w:szCs w:val="24"/>
        </w:rPr>
        <w:t>(</w:t>
      </w:r>
      <w:r>
        <w:rPr>
          <w:rFonts w:hint="eastAsia" w:ascii="宋体" w:hAnsi="宋体" w:eastAsia="宋体"/>
          <w:sz w:val="24"/>
          <w:szCs w:val="24"/>
        </w:rPr>
        <w:t>卡电缆处用电缆外皮再包一层</w:t>
      </w:r>
      <w:r>
        <w:rPr>
          <w:rFonts w:ascii="宋体" w:hAnsi="宋体" w:eastAsia="宋体"/>
          <w:sz w:val="24"/>
          <w:szCs w:val="24"/>
        </w:rPr>
        <w:t>)</w:t>
      </w:r>
      <w:r>
        <w:rPr>
          <w:rFonts w:hint="eastAsia" w:ascii="宋体" w:hAnsi="宋体" w:eastAsia="宋体"/>
          <w:sz w:val="24"/>
          <w:szCs w:val="24"/>
        </w:rPr>
        <w:t>，并使用四指低压电缆终端头（留小防水弯），然后按相序接到四线上。连接时尾线顺向背杆侧并用两个并沟线夹连接，连接点距立瓶或茶台</w:t>
      </w:r>
      <w:r>
        <w:rPr>
          <w:rFonts w:ascii="宋体" w:hAnsi="宋体" w:eastAsia="宋体"/>
          <w:sz w:val="24"/>
          <w:szCs w:val="24"/>
        </w:rPr>
        <w:t>40cm</w:t>
      </w:r>
      <w:r>
        <w:rPr>
          <w:rFonts w:hint="eastAsia" w:ascii="宋体" w:hAnsi="宋体" w:eastAsia="宋体"/>
          <w:sz w:val="24"/>
          <w:szCs w:val="24"/>
        </w:rPr>
        <w:t>。电缆线破皮后用防老化线绑扎，禁止使用铝线。零线在低压开关架处涂复合脂后搭接</w:t>
      </w:r>
      <w:r>
        <w:rPr>
          <w:rFonts w:ascii="宋体" w:hAnsi="宋体" w:eastAsia="宋体"/>
          <w:sz w:val="24"/>
          <w:szCs w:val="24"/>
        </w:rPr>
        <w:t>15cm</w:t>
      </w:r>
      <w:r>
        <w:rPr>
          <w:rFonts w:hint="eastAsia" w:ascii="宋体" w:hAnsi="宋体" w:eastAsia="宋体"/>
          <w:sz w:val="24"/>
          <w:szCs w:val="24"/>
        </w:rPr>
        <w:t>（不缠胶布）。</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）变台总表箱应安装在低压侧托铁以上</w:t>
      </w:r>
      <w:r>
        <w:rPr>
          <w:rFonts w:ascii="宋体" w:hAnsi="宋体" w:eastAsia="宋体"/>
          <w:sz w:val="24"/>
          <w:szCs w:val="24"/>
        </w:rPr>
        <w:t>20cm</w:t>
      </w:r>
      <w:r>
        <w:rPr>
          <w:rFonts w:hint="eastAsia" w:ascii="宋体" w:hAnsi="宋体" w:eastAsia="宋体"/>
          <w:sz w:val="24"/>
          <w:szCs w:val="24"/>
        </w:rPr>
        <w:t>处，并且门应向变台外侧开。</w:t>
      </w:r>
    </w:p>
    <w:p>
      <w:pPr>
        <w:snapToGrid w:val="0"/>
        <w:spacing w:line="540" w:lineRule="exact"/>
        <w:ind w:left="-6" w:firstLine="465"/>
        <w:rPr>
          <w:rFonts w:ascii="宋体" w:hAnsi="宋体" w:eastAsia="宋体"/>
          <w:sz w:val="24"/>
          <w:szCs w:val="24"/>
        </w:rPr>
      </w:pPr>
      <w:r>
        <w:rPr>
          <w:rFonts w:hint="eastAsia" w:ascii="宋体" w:hAnsi="宋体" w:eastAsia="宋体"/>
          <w:sz w:val="24"/>
          <w:szCs w:val="24"/>
        </w:rPr>
        <w:t>二、接地体的连接</w:t>
      </w:r>
      <w:r>
        <w:rPr>
          <w:rFonts w:ascii="宋体" w:hAnsi="宋体" w:eastAsia="宋体"/>
          <w:sz w:val="24"/>
          <w:szCs w:val="24"/>
        </w:rPr>
        <w:t>:</w:t>
      </w:r>
    </w:p>
    <w:p>
      <w:pPr>
        <w:snapToGrid w:val="0"/>
        <w:spacing w:line="540" w:lineRule="exact"/>
        <w:ind w:left="-6" w:firstLine="465"/>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k</w:t>
      </w:r>
      <w:r>
        <w:rPr>
          <w:rFonts w:ascii="宋体" w:hAnsi="宋体" w:eastAsia="宋体"/>
          <w:sz w:val="24"/>
          <w:szCs w:val="24"/>
        </w:rPr>
        <w:t>V</w:t>
      </w:r>
      <w:r>
        <w:rPr>
          <w:rFonts w:hint="eastAsia" w:ascii="宋体" w:hAnsi="宋体" w:eastAsia="宋体"/>
          <w:sz w:val="24"/>
          <w:szCs w:val="24"/>
        </w:rPr>
        <w:t>为三线制变台接地采用单接地点，即避雷器和变压器外壳、低压中性点共同接在一个接地引线上。以上连接采用搭接</w:t>
      </w:r>
      <w:r>
        <w:rPr>
          <w:rFonts w:ascii="宋体" w:hAnsi="宋体" w:eastAsia="宋体"/>
          <w:sz w:val="24"/>
          <w:szCs w:val="24"/>
        </w:rPr>
        <w:t>15cm</w:t>
      </w:r>
      <w:r>
        <w:rPr>
          <w:rFonts w:hint="eastAsia" w:ascii="宋体" w:hAnsi="宋体" w:eastAsia="宋体"/>
          <w:sz w:val="24"/>
          <w:szCs w:val="24"/>
        </w:rPr>
        <w:t>以上（不缠胶布）及螺栓固定（须有垫片）。接地引上线使用φ</w:t>
      </w:r>
      <w:r>
        <w:rPr>
          <w:rFonts w:ascii="宋体" w:hAnsi="宋体" w:eastAsia="宋体"/>
          <w:sz w:val="24"/>
          <w:szCs w:val="24"/>
        </w:rPr>
        <w:t>16</w:t>
      </w:r>
      <w:r>
        <w:rPr>
          <w:rFonts w:hint="eastAsia" w:ascii="宋体" w:hAnsi="宋体" w:eastAsia="宋体"/>
          <w:sz w:val="24"/>
          <w:szCs w:val="24"/>
        </w:rPr>
        <w:t>圆钢外套热塑钢管保护（托铁下</w:t>
      </w:r>
      <w:r>
        <w:rPr>
          <w:rFonts w:ascii="宋体" w:hAnsi="宋体" w:eastAsia="宋体"/>
          <w:sz w:val="24"/>
          <w:szCs w:val="24"/>
        </w:rPr>
        <w:t>10cm</w:t>
      </w:r>
      <w:r>
        <w:rPr>
          <w:rFonts w:hint="eastAsia" w:ascii="宋体" w:hAnsi="宋体" w:eastAsia="宋体"/>
          <w:sz w:val="24"/>
          <w:szCs w:val="24"/>
        </w:rPr>
        <w:t>），并用两个抱箍固定（</w:t>
      </w:r>
      <w:r>
        <w:rPr>
          <w:rFonts w:ascii="宋体" w:hAnsi="宋体" w:eastAsia="宋体"/>
          <w:sz w:val="24"/>
          <w:szCs w:val="24"/>
        </w:rPr>
        <w:t>1</w:t>
      </w:r>
      <w:r>
        <w:rPr>
          <w:rFonts w:hint="eastAsia" w:ascii="宋体" w:hAnsi="宋体" w:eastAsia="宋体"/>
          <w:sz w:val="24"/>
          <w:szCs w:val="24"/>
        </w:rPr>
        <w:t>米</w:t>
      </w:r>
      <w:r>
        <w:rPr>
          <w:rFonts w:ascii="宋体" w:hAnsi="宋体" w:eastAsia="宋体"/>
          <w:sz w:val="24"/>
          <w:szCs w:val="24"/>
        </w:rPr>
        <w:t>1</w:t>
      </w:r>
      <w:r>
        <w:rPr>
          <w:rFonts w:hint="eastAsia" w:ascii="宋体" w:hAnsi="宋体" w:eastAsia="宋体"/>
          <w:sz w:val="24"/>
          <w:szCs w:val="24"/>
        </w:rPr>
        <w:t>个）。</w:t>
      </w:r>
    </w:p>
    <w:p>
      <w:pPr>
        <w:pStyle w:val="8"/>
        <w:spacing w:line="540" w:lineRule="exact"/>
        <w:ind w:left="0"/>
        <w:rPr>
          <w:rFonts w:ascii="宋体" w:eastAsia="宋体"/>
          <w:color w:val="000000"/>
          <w:sz w:val="24"/>
          <w:szCs w:val="24"/>
        </w:rPr>
      </w:pPr>
      <w:bookmarkStart w:id="25" w:name="_Toc328124292"/>
      <w:r>
        <w:rPr>
          <w:rFonts w:hint="eastAsia" w:ascii="宋体" w:eastAsia="宋体"/>
          <w:sz w:val="24"/>
          <w:szCs w:val="24"/>
          <w:lang w:val="en-US" w:eastAsia="zh-CN"/>
        </w:rPr>
        <w:t>7</w:t>
      </w:r>
      <w:r>
        <w:rPr>
          <w:rFonts w:hint="eastAsia" w:ascii="宋体" w:eastAsia="宋体"/>
          <w:sz w:val="24"/>
          <w:szCs w:val="24"/>
        </w:rPr>
        <w:t>、质量管理</w:t>
      </w:r>
      <w:bookmarkEnd w:id="25"/>
    </w:p>
    <w:p>
      <w:pPr>
        <w:spacing w:line="540" w:lineRule="exact"/>
        <w:ind w:firstLine="480" w:firstLineChars="200"/>
        <w:rPr>
          <w:rFonts w:ascii="宋体" w:hAnsi="宋体" w:eastAsia="宋体"/>
          <w:sz w:val="24"/>
          <w:szCs w:val="24"/>
        </w:rPr>
      </w:pPr>
      <w:r>
        <w:rPr>
          <w:rFonts w:hint="eastAsia" w:ascii="宋体" w:hAnsi="宋体" w:eastAsia="宋体"/>
          <w:sz w:val="24"/>
          <w:szCs w:val="24"/>
        </w:rPr>
        <w:t>百年大计，质量第一。</w:t>
      </w:r>
      <w:r>
        <w:rPr>
          <w:rFonts w:hint="eastAsia" w:ascii="宋体" w:hAnsi="宋体" w:eastAsia="宋体"/>
          <w:sz w:val="24"/>
          <w:szCs w:val="24"/>
          <w:lang w:eastAsia="zh-CN"/>
        </w:rPr>
        <w:t>治安镇西呼拉斯台嘎查农田电力设施配套项目</w:t>
      </w:r>
      <w:r>
        <w:rPr>
          <w:rFonts w:hint="eastAsia" w:ascii="宋体" w:hAnsi="宋体" w:eastAsia="宋体"/>
          <w:sz w:val="24"/>
          <w:szCs w:val="24"/>
        </w:rPr>
        <w:t xml:space="preserve">在具体实施过程中，一是建立工程质量行政领导人责任制，实行主管行政领导、行业主管部门责任人制度，行政一把手对工程建设、资金筹集和管理使用负总责。二是建立参建单位工程质量领导人责任制，施工单位的法定代表人，要按照各自职责对所承建的项目的工程质量负领导责任。三是建立工程质量终身责任制，项目工程质量的行政领导责任人，项目法定代表人，勘察、设计、施工等单位的法定代表人，要按各自的职责对其工程的质量负终身责任。 </w:t>
      </w:r>
    </w:p>
    <w:p>
      <w:pPr>
        <w:pStyle w:val="2"/>
        <w:spacing w:line="540" w:lineRule="exact"/>
        <w:rPr>
          <w:rFonts w:ascii="宋体" w:hAnsi="宋体" w:eastAsia="宋体"/>
          <w:sz w:val="24"/>
          <w:szCs w:val="24"/>
        </w:rPr>
      </w:pPr>
      <w:bookmarkStart w:id="26" w:name="_Toc328124294"/>
      <w:bookmarkStart w:id="27" w:name="_Toc533443310"/>
      <w:r>
        <w:rPr>
          <w:rFonts w:hint="eastAsia" w:ascii="宋体" w:hAnsi="宋体" w:eastAsia="宋体"/>
          <w:b/>
          <w:sz w:val="28"/>
          <w:szCs w:val="28"/>
        </w:rPr>
        <w:t>第七章  工期安排</w:t>
      </w:r>
      <w:bookmarkEnd w:id="26"/>
      <w:bookmarkEnd w:id="27"/>
    </w:p>
    <w:p>
      <w:pPr>
        <w:spacing w:line="54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根据项目区气候特点及地区实际，项目建设工期安排：</w:t>
      </w:r>
    </w:p>
    <w:p>
      <w:pPr>
        <w:spacing w:line="540" w:lineRule="exact"/>
        <w:jc w:val="left"/>
        <w:rPr>
          <w:rFonts w:ascii="宋体" w:hAnsi="宋体" w:eastAsia="宋体"/>
          <w:sz w:val="24"/>
          <w:szCs w:val="24"/>
          <w:highlight w:val="none"/>
        </w:rPr>
      </w:pPr>
      <w:r>
        <w:rPr>
          <w:rFonts w:hint="eastAsia" w:ascii="宋体" w:hAnsi="宋体" w:eastAsia="宋体"/>
          <w:sz w:val="24"/>
          <w:szCs w:val="24"/>
          <w:highlight w:val="none"/>
        </w:rPr>
        <w:t xml:space="preserve">    1、20</w:t>
      </w:r>
      <w:r>
        <w:rPr>
          <w:rFonts w:hint="eastAsia" w:ascii="宋体" w:hAnsi="宋体" w:eastAsia="宋体"/>
          <w:sz w:val="24"/>
          <w:szCs w:val="24"/>
          <w:highlight w:val="none"/>
          <w:lang w:val="en-US" w:eastAsia="zh-CN"/>
        </w:rPr>
        <w:t>23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月  项目</w:t>
      </w:r>
      <w:r>
        <w:rPr>
          <w:rFonts w:hint="eastAsia" w:ascii="宋体" w:hAnsi="宋体" w:eastAsia="宋体"/>
          <w:sz w:val="24"/>
          <w:szCs w:val="24"/>
          <w:highlight w:val="none"/>
          <w:lang w:val="en-US" w:eastAsia="zh-CN"/>
        </w:rPr>
        <w:t>开工</w:t>
      </w:r>
    </w:p>
    <w:p>
      <w:pPr>
        <w:spacing w:line="540" w:lineRule="exact"/>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、20</w:t>
      </w:r>
      <w:r>
        <w:rPr>
          <w:rFonts w:hint="eastAsia" w:ascii="宋体" w:hAnsi="宋体" w:eastAsia="宋体"/>
          <w:sz w:val="24"/>
          <w:szCs w:val="24"/>
          <w:highlight w:val="none"/>
          <w:lang w:val="en-US" w:eastAsia="zh-CN"/>
        </w:rPr>
        <w:t>23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8月</w:t>
      </w:r>
      <w:r>
        <w:rPr>
          <w:rFonts w:hint="eastAsia" w:ascii="宋体" w:hAnsi="宋体" w:eastAsia="宋体"/>
          <w:sz w:val="24"/>
          <w:szCs w:val="24"/>
          <w:highlight w:val="none"/>
        </w:rPr>
        <w:t xml:space="preserve">  项目</w:t>
      </w:r>
      <w:r>
        <w:rPr>
          <w:rFonts w:hint="eastAsia" w:ascii="宋体" w:hAnsi="宋体" w:eastAsia="宋体"/>
          <w:sz w:val="24"/>
          <w:szCs w:val="24"/>
          <w:highlight w:val="none"/>
          <w:lang w:val="en-US" w:eastAsia="zh-CN"/>
        </w:rPr>
        <w:t>竣工</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、20</w:t>
      </w:r>
      <w:r>
        <w:rPr>
          <w:rFonts w:hint="eastAsia" w:ascii="宋体" w:hAnsi="宋体" w:eastAsia="宋体"/>
          <w:sz w:val="24"/>
          <w:szCs w:val="24"/>
          <w:highlight w:val="none"/>
          <w:lang w:val="en-US" w:eastAsia="zh-CN"/>
        </w:rPr>
        <w:t>23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月  项目初验收</w:t>
      </w:r>
    </w:p>
    <w:p>
      <w:pPr>
        <w:spacing w:line="540" w:lineRule="exact"/>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、20</w:t>
      </w:r>
      <w:r>
        <w:rPr>
          <w:rFonts w:hint="eastAsia" w:ascii="宋体" w:hAnsi="宋体" w:eastAsia="宋体"/>
          <w:sz w:val="24"/>
          <w:szCs w:val="24"/>
          <w:lang w:val="en-US" w:eastAsia="zh-CN"/>
        </w:rPr>
        <w:t>23</w:t>
      </w:r>
      <w:r>
        <w:rPr>
          <w:rFonts w:hint="eastAsia" w:ascii="宋体" w:hAnsi="宋体" w:eastAsia="宋体"/>
          <w:sz w:val="24"/>
          <w:szCs w:val="24"/>
        </w:rPr>
        <w:t>年</w:t>
      </w:r>
      <w:r>
        <w:rPr>
          <w:rFonts w:hint="eastAsia" w:ascii="宋体" w:hAnsi="宋体" w:eastAsia="宋体"/>
          <w:sz w:val="24"/>
          <w:szCs w:val="24"/>
          <w:lang w:val="en-US" w:eastAsia="zh-CN"/>
        </w:rPr>
        <w:t>10</w:t>
      </w:r>
      <w:r>
        <w:rPr>
          <w:rFonts w:hint="eastAsia" w:ascii="宋体" w:hAnsi="宋体" w:eastAsia="宋体"/>
          <w:sz w:val="24"/>
          <w:szCs w:val="24"/>
        </w:rPr>
        <w:t>月  申请上级验收。</w:t>
      </w:r>
    </w:p>
    <w:p>
      <w:pPr>
        <w:pStyle w:val="2"/>
        <w:spacing w:line="540" w:lineRule="exact"/>
        <w:rPr>
          <w:rFonts w:ascii="宋体" w:hAnsi="宋体" w:eastAsia="宋体"/>
          <w:b/>
          <w:sz w:val="28"/>
          <w:szCs w:val="28"/>
        </w:rPr>
      </w:pPr>
      <w:bookmarkStart w:id="28" w:name="_Toc533443311"/>
      <w:bookmarkStart w:id="29" w:name="_Toc328124295"/>
      <w:r>
        <w:rPr>
          <w:rFonts w:hint="eastAsia" w:ascii="宋体" w:hAnsi="宋体" w:eastAsia="宋体"/>
          <w:b/>
          <w:sz w:val="28"/>
          <w:szCs w:val="28"/>
        </w:rPr>
        <w:t>第八章  项目资金管理</w:t>
      </w:r>
      <w:bookmarkEnd w:id="28"/>
      <w:bookmarkEnd w:id="29"/>
    </w:p>
    <w:p>
      <w:pPr>
        <w:tabs>
          <w:tab w:val="left" w:pos="2340"/>
        </w:tabs>
        <w:spacing w:line="540" w:lineRule="exact"/>
        <w:ind w:firstLine="480" w:firstLineChars="200"/>
        <w:rPr>
          <w:rFonts w:ascii="宋体" w:hAnsi="宋体" w:eastAsia="宋体"/>
          <w:sz w:val="24"/>
          <w:szCs w:val="24"/>
        </w:rPr>
      </w:pPr>
    </w:p>
    <w:p>
      <w:pPr>
        <w:tabs>
          <w:tab w:val="left" w:pos="2340"/>
        </w:tabs>
        <w:spacing w:line="540" w:lineRule="exact"/>
        <w:ind w:firstLine="480" w:firstLineChars="200"/>
        <w:rPr>
          <w:rFonts w:ascii="宋体" w:hAnsi="宋体" w:eastAsia="宋体"/>
          <w:sz w:val="24"/>
          <w:szCs w:val="24"/>
        </w:rPr>
      </w:pPr>
      <w:r>
        <w:rPr>
          <w:rFonts w:hint="eastAsia" w:ascii="宋体" w:hAnsi="宋体" w:eastAsia="宋体"/>
          <w:sz w:val="24"/>
          <w:szCs w:val="24"/>
          <w:lang w:eastAsia="zh-CN"/>
        </w:rPr>
        <w:t>治安镇西呼拉斯台嘎查农田电力设施配套项目</w:t>
      </w:r>
      <w:r>
        <w:rPr>
          <w:rFonts w:hint="eastAsia" w:ascii="宋体" w:hAnsi="宋体" w:eastAsia="宋体"/>
          <w:sz w:val="24"/>
          <w:szCs w:val="24"/>
        </w:rPr>
        <w:t>，严格按照有关规定，专款专用，实行“三专一封闭”管理制度，整个工程资金全面采用公示制，实行按进度分期分批拨款，按月上报工程进度制，及时接受财政、审计、纪检部门的检查和监督。</w:t>
      </w:r>
    </w:p>
    <w:p>
      <w:pPr>
        <w:pStyle w:val="2"/>
        <w:spacing w:line="540" w:lineRule="exact"/>
        <w:rPr>
          <w:rFonts w:ascii="宋体" w:hAnsi="宋体" w:eastAsia="宋体"/>
          <w:b/>
          <w:sz w:val="28"/>
          <w:szCs w:val="28"/>
        </w:rPr>
      </w:pPr>
      <w:bookmarkStart w:id="30" w:name="_Toc533443312"/>
      <w:bookmarkStart w:id="31" w:name="_Toc328124296"/>
      <w:r>
        <w:rPr>
          <w:rFonts w:hint="eastAsia" w:ascii="宋体" w:hAnsi="宋体" w:eastAsia="宋体"/>
          <w:b/>
          <w:sz w:val="28"/>
          <w:szCs w:val="28"/>
        </w:rPr>
        <w:t>第九章  工程效益</w:t>
      </w:r>
      <w:bookmarkEnd w:id="30"/>
      <w:bookmarkEnd w:id="31"/>
    </w:p>
    <w:p>
      <w:pPr>
        <w:tabs>
          <w:tab w:val="left" w:pos="2340"/>
        </w:tabs>
        <w:spacing w:line="540" w:lineRule="exact"/>
        <w:rPr>
          <w:rFonts w:ascii="宋体" w:hAnsi="宋体" w:eastAsia="宋体"/>
          <w:b/>
          <w:color w:val="000000"/>
          <w:sz w:val="24"/>
          <w:szCs w:val="24"/>
        </w:rPr>
      </w:pPr>
      <w:r>
        <w:rPr>
          <w:rFonts w:hint="eastAsia" w:ascii="宋体" w:hAnsi="宋体" w:eastAsia="宋体"/>
          <w:b/>
          <w:sz w:val="24"/>
          <w:szCs w:val="24"/>
        </w:rPr>
        <w:t>10.1经济效益</w:t>
      </w:r>
    </w:p>
    <w:p>
      <w:pPr>
        <w:tabs>
          <w:tab w:val="left" w:pos="2340"/>
        </w:tabs>
        <w:spacing w:line="54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与项目实施前相比，项目实施后将起到很好的示范和带头作用，对提高贫困地区人民生活水平和生活质量意义重大而深远。通过项目的实施，项目区增收明显。</w:t>
      </w:r>
      <w:bookmarkStart w:id="32" w:name="_Toc328124298"/>
    </w:p>
    <w:p>
      <w:pPr>
        <w:tabs>
          <w:tab w:val="left" w:pos="2340"/>
        </w:tabs>
        <w:spacing w:line="540" w:lineRule="exact"/>
        <w:rPr>
          <w:rFonts w:hint="eastAsia" w:ascii="宋体" w:hAnsi="宋体" w:eastAsia="宋体"/>
          <w:b/>
          <w:sz w:val="24"/>
          <w:szCs w:val="24"/>
        </w:rPr>
      </w:pPr>
    </w:p>
    <w:p>
      <w:pPr>
        <w:tabs>
          <w:tab w:val="left" w:pos="2340"/>
        </w:tabs>
        <w:spacing w:line="540" w:lineRule="exact"/>
        <w:rPr>
          <w:rFonts w:ascii="宋体" w:hAnsi="宋体" w:eastAsia="宋体"/>
          <w:b/>
          <w:color w:val="000000"/>
          <w:sz w:val="24"/>
          <w:szCs w:val="24"/>
        </w:rPr>
      </w:pPr>
      <w:r>
        <w:rPr>
          <w:rFonts w:hint="eastAsia" w:ascii="宋体" w:hAnsi="宋体" w:eastAsia="宋体"/>
          <w:b/>
          <w:sz w:val="24"/>
          <w:szCs w:val="24"/>
        </w:rPr>
        <w:t>10.2社会效益</w:t>
      </w:r>
      <w:bookmarkEnd w:id="32"/>
    </w:p>
    <w:p>
      <w:pPr>
        <w:widowControl/>
        <w:spacing w:line="540" w:lineRule="exact"/>
        <w:ind w:firstLine="480" w:firstLineChars="200"/>
        <w:jc w:val="left"/>
        <w:rPr>
          <w:rFonts w:ascii="宋体" w:hAnsi="宋体" w:eastAsia="宋体"/>
          <w:sz w:val="24"/>
          <w:szCs w:val="24"/>
          <w:highlight w:val="none"/>
        </w:rPr>
      </w:pPr>
      <w:r>
        <w:rPr>
          <w:rFonts w:hint="eastAsia" w:ascii="宋体" w:hAnsi="宋体" w:eastAsia="宋体"/>
          <w:sz w:val="24"/>
          <w:szCs w:val="24"/>
        </w:rPr>
        <w:t>奈曼旗</w:t>
      </w:r>
      <w:r>
        <w:rPr>
          <w:rFonts w:hint="eastAsia" w:ascii="宋体" w:hAnsi="宋体" w:eastAsia="宋体"/>
          <w:sz w:val="24"/>
          <w:szCs w:val="24"/>
          <w:lang w:val="en-US" w:eastAsia="zh-CN"/>
        </w:rPr>
        <w:t>农田</w:t>
      </w:r>
      <w:r>
        <w:rPr>
          <w:rFonts w:hint="eastAsia" w:ascii="宋体" w:hAnsi="宋体" w:eastAsia="宋体"/>
          <w:sz w:val="24"/>
          <w:szCs w:val="24"/>
          <w:highlight w:val="none"/>
          <w:lang w:val="en-US" w:eastAsia="zh-CN"/>
        </w:rPr>
        <w:t>灌溉基础设施建设比较落后</w:t>
      </w:r>
      <w:r>
        <w:rPr>
          <w:rFonts w:hint="eastAsia" w:ascii="宋体" w:hAnsi="宋体" w:eastAsia="宋体"/>
          <w:sz w:val="24"/>
          <w:szCs w:val="24"/>
          <w:highlight w:val="none"/>
        </w:rPr>
        <w:t>，特别是农田水利设施落后，严重制约着全旗社会经济的发展。近年来随着西部大开发战略实施，奈曼旗农村基础设施建设投入力度不断加大，农村生产生活条件不断改善，但总体来看，农业基础设施投入严重不足与农业发展的需求已不相适应，成为农业和农村经济发展的瓶颈。</w:t>
      </w:r>
    </w:p>
    <w:p>
      <w:pPr>
        <w:spacing w:line="540" w:lineRule="exact"/>
        <w:ind w:firstLine="480" w:firstLineChars="200"/>
        <w:rPr>
          <w:rFonts w:ascii="宋体" w:hAnsi="宋体" w:eastAsia="宋体"/>
          <w:sz w:val="24"/>
          <w:szCs w:val="24"/>
        </w:rPr>
      </w:pPr>
      <w:r>
        <w:rPr>
          <w:rFonts w:hint="eastAsia" w:ascii="宋体" w:hAnsi="宋体" w:eastAsia="宋体" w:cs="Arial"/>
          <w:sz w:val="24"/>
          <w:szCs w:val="24"/>
          <w:highlight w:val="none"/>
        </w:rPr>
        <w:t>由于受多种因素影响，有的</w:t>
      </w:r>
      <w:r>
        <w:rPr>
          <w:rFonts w:hint="eastAsia" w:ascii="宋体" w:hAnsi="宋体" w:eastAsia="宋体" w:cs="Arial"/>
          <w:sz w:val="24"/>
          <w:szCs w:val="24"/>
          <w:highlight w:val="none"/>
          <w:lang w:val="en-US" w:eastAsia="zh-CN"/>
        </w:rPr>
        <w:t>嘎查村</w:t>
      </w:r>
      <w:r>
        <w:rPr>
          <w:rFonts w:hint="eastAsia" w:ascii="宋体" w:hAnsi="宋体" w:eastAsia="宋体" w:cs="Arial"/>
          <w:sz w:val="24"/>
          <w:szCs w:val="24"/>
          <w:highlight w:val="none"/>
        </w:rPr>
        <w:t>耕地面积得不到灌溉，只有靠天吃饭，粮食单产较低，但</w:t>
      </w:r>
      <w:r>
        <w:rPr>
          <w:rFonts w:hint="eastAsia" w:ascii="宋体" w:hAnsi="宋体" w:eastAsia="宋体"/>
          <w:sz w:val="24"/>
          <w:szCs w:val="24"/>
          <w:highlight w:val="none"/>
        </w:rPr>
        <w:t>通过农田水利建设项目的实施，采取旱改水、发展节水</w:t>
      </w:r>
      <w:r>
        <w:rPr>
          <w:rFonts w:hint="eastAsia" w:ascii="宋体" w:hAnsi="宋体" w:eastAsia="宋体"/>
          <w:sz w:val="24"/>
          <w:szCs w:val="24"/>
        </w:rPr>
        <w:t>灌溉等措施，建设高产稳产口粮田，提高粮食单产，对解决</w:t>
      </w:r>
      <w:r>
        <w:rPr>
          <w:rFonts w:hint="eastAsia" w:ascii="宋体" w:hAnsi="宋体" w:eastAsia="宋体" w:cs="Arial"/>
          <w:sz w:val="24"/>
          <w:szCs w:val="24"/>
        </w:rPr>
        <w:t>贫困人口人均占有量不足、</w:t>
      </w:r>
      <w:r>
        <w:rPr>
          <w:rFonts w:hint="eastAsia" w:ascii="宋体" w:hAnsi="宋体" w:eastAsia="宋体"/>
          <w:sz w:val="24"/>
          <w:szCs w:val="24"/>
        </w:rPr>
        <w:t>确保贫困人口粮食自给、巩固农业基础地位等有着十分重要的意义。</w:t>
      </w:r>
      <w:bookmarkStart w:id="33" w:name="_Toc328124299"/>
    </w:p>
    <w:p>
      <w:pPr>
        <w:spacing w:line="540" w:lineRule="exact"/>
        <w:rPr>
          <w:rFonts w:ascii="宋体" w:hAnsi="宋体" w:eastAsia="宋体"/>
          <w:b/>
          <w:sz w:val="24"/>
          <w:szCs w:val="24"/>
        </w:rPr>
      </w:pPr>
      <w:r>
        <w:rPr>
          <w:rFonts w:hint="eastAsia" w:ascii="宋体" w:hAnsi="宋体" w:eastAsia="宋体"/>
          <w:b/>
          <w:sz w:val="24"/>
          <w:szCs w:val="24"/>
        </w:rPr>
        <w:t>10.3生态效益</w:t>
      </w:r>
      <w:bookmarkEnd w:id="33"/>
    </w:p>
    <w:p>
      <w:pPr>
        <w:spacing w:line="540" w:lineRule="exact"/>
        <w:ind w:firstLine="480" w:firstLineChars="200"/>
        <w:rPr>
          <w:rFonts w:ascii="宋体" w:hAnsi="宋体" w:eastAsia="宋体"/>
          <w:b/>
          <w:sz w:val="24"/>
          <w:szCs w:val="24"/>
        </w:rPr>
      </w:pPr>
      <w:r>
        <w:rPr>
          <w:rFonts w:hint="eastAsia" w:ascii="宋体" w:hAnsi="宋体" w:eastAsia="宋体"/>
          <w:sz w:val="24"/>
          <w:szCs w:val="24"/>
        </w:rPr>
        <w:t>（1）通过农田水利工程的建设和农作物种植，不仅可改善农业生产基础环境，而且也可有效控制沙化，还可调节小区气候，涵养水源，促进本地区生态平衡。</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（2）项目区通过工程建设，在提高粮食产量的同时，也增加了秸秆饲草料的产量，有利于推进舍饲养畜，发展农区畜牧业，减轻草牧场压力，对于全旗禁牧舍饲、恢复生态将起到有效的推动作用。</w:t>
      </w:r>
    </w:p>
    <w:p>
      <w:pPr>
        <w:spacing w:line="540" w:lineRule="exact"/>
        <w:ind w:firstLine="480" w:firstLineChars="200"/>
        <w:rPr>
          <w:rFonts w:ascii="宋体" w:hAnsi="宋体" w:eastAsia="宋体"/>
          <w:sz w:val="24"/>
          <w:szCs w:val="24"/>
        </w:rPr>
      </w:pPr>
      <w:r>
        <w:rPr>
          <w:rFonts w:hint="eastAsia" w:ascii="宋体" w:hAnsi="宋体" w:eastAsia="宋体"/>
          <w:sz w:val="24"/>
          <w:szCs w:val="24"/>
        </w:rPr>
        <w:t>（3）通过项目建设，加快农业发展，进而推进畜牧业得到长足发展；畜牧业的发展必将为农业生产提供大量的有机肥料，通过粪便返回农田，既减少了环境污染，又能改良土壤，提高土壤有机质含量，促进项目区生态环境的良性循环。</w:t>
      </w:r>
    </w:p>
    <w:p>
      <w:pPr>
        <w:spacing w:line="540" w:lineRule="exact"/>
        <w:ind w:firstLine="480" w:firstLineChars="200"/>
        <w:rPr>
          <w:rFonts w:ascii="宋体" w:hAnsi="宋体" w:eastAsia="宋体"/>
          <w:sz w:val="24"/>
          <w:szCs w:val="24"/>
        </w:rPr>
      </w:pPr>
    </w:p>
    <w:p>
      <w:pPr>
        <w:pStyle w:val="2"/>
        <w:spacing w:line="540" w:lineRule="exact"/>
        <w:rPr>
          <w:rFonts w:ascii="宋体" w:hAnsi="宋体" w:eastAsia="宋体"/>
          <w:b/>
          <w:sz w:val="28"/>
          <w:szCs w:val="28"/>
        </w:rPr>
      </w:pPr>
      <w:bookmarkStart w:id="34" w:name="_Toc533443313"/>
      <w:bookmarkStart w:id="35" w:name="_Toc328124300"/>
      <w:r>
        <w:rPr>
          <w:rFonts w:hint="eastAsia" w:ascii="宋体" w:hAnsi="宋体" w:eastAsia="宋体"/>
          <w:b/>
          <w:sz w:val="28"/>
          <w:szCs w:val="28"/>
        </w:rPr>
        <w:t>第十章  工程后期管护措施</w:t>
      </w:r>
      <w:bookmarkEnd w:id="34"/>
      <w:bookmarkEnd w:id="35"/>
    </w:p>
    <w:p>
      <w:pPr>
        <w:spacing w:line="540" w:lineRule="exact"/>
        <w:ind w:left="-29" w:leftChars="-14" w:firstLine="480" w:firstLineChars="200"/>
        <w:rPr>
          <w:rFonts w:ascii="宋体" w:hAnsi="宋体" w:eastAsia="宋体"/>
          <w:sz w:val="24"/>
          <w:szCs w:val="24"/>
        </w:rPr>
      </w:pPr>
      <w:r>
        <w:rPr>
          <w:rFonts w:hint="eastAsia" w:ascii="宋体" w:hAnsi="宋体" w:eastAsia="宋体"/>
          <w:sz w:val="24"/>
          <w:szCs w:val="24"/>
        </w:rPr>
        <w:t>工程建成验收后，移交</w:t>
      </w:r>
      <w:r>
        <w:rPr>
          <w:rFonts w:hint="eastAsia" w:ascii="宋体" w:hAnsi="宋体" w:eastAsia="宋体"/>
          <w:sz w:val="24"/>
          <w:szCs w:val="24"/>
          <w:lang w:eastAsia="zh-CN"/>
        </w:rPr>
        <w:t>村统</w:t>
      </w:r>
      <w:r>
        <w:rPr>
          <w:rFonts w:hint="eastAsia" w:ascii="宋体" w:hAnsi="宋体" w:eastAsia="宋体"/>
          <w:sz w:val="24"/>
          <w:szCs w:val="24"/>
        </w:rPr>
        <w:t>一管理，建立管理机构，制定管理措施，经营采取自收自支企业式管理。</w:t>
      </w:r>
    </w:p>
    <w:sectPr>
      <w:pgSz w:w="11906" w:h="16838"/>
      <w:pgMar w:top="1440" w:right="1274" w:bottom="1440" w:left="12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5265"/>
      <w:docPartObj>
        <w:docPartGallery w:val="autotext"/>
      </w:docPartObj>
    </w:sdtPr>
    <w:sdtContent>
      <w:p>
        <w:pPr>
          <w:pStyle w:val="1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722EC"/>
    <w:multiLevelType w:val="multilevel"/>
    <w:tmpl w:val="113722EC"/>
    <w:lvl w:ilvl="0" w:tentative="0">
      <w:start w:val="1"/>
      <w:numFmt w:val="japaneseCounting"/>
      <w:lvlText w:val="第%1章"/>
      <w:lvlJc w:val="left"/>
      <w:pPr>
        <w:ind w:left="1231" w:hanging="1230"/>
      </w:pPr>
      <w:rPr>
        <w:rFonts w:hint="default"/>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MmM1MThkZWYxZTk1OGI5YTE5OTk1MGIwM2Y0ZTgifQ=="/>
  </w:docVars>
  <w:rsids>
    <w:rsidRoot w:val="00FF5F43"/>
    <w:rsid w:val="000734C3"/>
    <w:rsid w:val="000B2B5F"/>
    <w:rsid w:val="001713C6"/>
    <w:rsid w:val="0020161F"/>
    <w:rsid w:val="00265717"/>
    <w:rsid w:val="002D5798"/>
    <w:rsid w:val="003D65DC"/>
    <w:rsid w:val="004F56FB"/>
    <w:rsid w:val="005315D1"/>
    <w:rsid w:val="0054427B"/>
    <w:rsid w:val="00581322"/>
    <w:rsid w:val="0061044B"/>
    <w:rsid w:val="006A543D"/>
    <w:rsid w:val="007F03A3"/>
    <w:rsid w:val="009770DB"/>
    <w:rsid w:val="00985B86"/>
    <w:rsid w:val="00A16CC9"/>
    <w:rsid w:val="00AB2572"/>
    <w:rsid w:val="00AD25BE"/>
    <w:rsid w:val="00C74E74"/>
    <w:rsid w:val="00CB6EBA"/>
    <w:rsid w:val="00D51450"/>
    <w:rsid w:val="00DD0A8D"/>
    <w:rsid w:val="00E16C50"/>
    <w:rsid w:val="00F66C90"/>
    <w:rsid w:val="00F95AC3"/>
    <w:rsid w:val="00FF5F43"/>
    <w:rsid w:val="0D0E6E64"/>
    <w:rsid w:val="13BC6926"/>
    <w:rsid w:val="370C2899"/>
    <w:rsid w:val="47FC5F23"/>
    <w:rsid w:val="48775D4E"/>
    <w:rsid w:val="4B4066FD"/>
    <w:rsid w:val="56553372"/>
    <w:rsid w:val="72846407"/>
    <w:rsid w:val="7A6B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34"/>
    <w:qFormat/>
    <w:uiPriority w:val="0"/>
    <w:pPr>
      <w:spacing w:before="104" w:after="104" w:line="0" w:lineRule="atLeast"/>
      <w:ind w:left="1"/>
      <w:jc w:val="center"/>
      <w:textAlignment w:val="bottom"/>
      <w:outlineLvl w:val="0"/>
    </w:pPr>
    <w:rPr>
      <w:rFonts w:ascii="Arial" w:hAnsi="Arial" w:eastAsia="黑体" w:cs="Times New Roman"/>
      <w:kern w:val="0"/>
      <w:sz w:val="32"/>
      <w:szCs w:val="20"/>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3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9"/>
    <w:qFormat/>
    <w:uiPriority w:val="0"/>
    <w:pPr>
      <w:ind w:firstLine="420" w:firstLineChars="200"/>
    </w:pPr>
    <w:rPr>
      <w:rFonts w:ascii="宋体" w:hAnsi="Times New Roman" w:eastAsia="宋体" w:cs="Times New Roman"/>
      <w:szCs w:val="21"/>
    </w:rPr>
  </w:style>
  <w:style w:type="paragraph" w:styleId="6">
    <w:name w:val="annotation text"/>
    <w:basedOn w:val="1"/>
    <w:semiHidden/>
    <w:unhideWhenUsed/>
    <w:qFormat/>
    <w:uiPriority w:val="99"/>
    <w:pPr>
      <w:jc w:val="left"/>
    </w:pPr>
  </w:style>
  <w:style w:type="paragraph" w:styleId="7">
    <w:name w:val="Body Text"/>
    <w:basedOn w:val="1"/>
    <w:link w:val="38"/>
    <w:unhideWhenUsed/>
    <w:qFormat/>
    <w:uiPriority w:val="0"/>
    <w:pPr>
      <w:spacing w:after="120"/>
    </w:pPr>
  </w:style>
  <w:style w:type="paragraph" w:styleId="8">
    <w:name w:val="Body Text Indent"/>
    <w:basedOn w:val="1"/>
    <w:link w:val="36"/>
    <w:qFormat/>
    <w:uiPriority w:val="0"/>
    <w:pPr>
      <w:spacing w:line="560" w:lineRule="exact"/>
      <w:ind w:left="581"/>
    </w:pPr>
    <w:rPr>
      <w:rFonts w:ascii="楷体_GB2312" w:hAnsi="宋体" w:eastAsia="楷体_GB2312" w:cs="Times New Roman"/>
      <w:sz w:val="30"/>
      <w:szCs w:val="20"/>
    </w:rPr>
  </w:style>
  <w:style w:type="paragraph" w:styleId="9">
    <w:name w:val="Plain Text"/>
    <w:basedOn w:val="1"/>
    <w:link w:val="50"/>
    <w:qFormat/>
    <w:uiPriority w:val="0"/>
    <w:rPr>
      <w:rFonts w:ascii="宋体" w:hAnsi="Courier New" w:eastAsia="宋体" w:cs="Courier New"/>
      <w:szCs w:val="21"/>
    </w:rPr>
  </w:style>
  <w:style w:type="paragraph" w:styleId="10">
    <w:name w:val="Date"/>
    <w:basedOn w:val="1"/>
    <w:next w:val="1"/>
    <w:link w:val="33"/>
    <w:unhideWhenUsed/>
    <w:qFormat/>
    <w:uiPriority w:val="0"/>
    <w:pPr>
      <w:ind w:left="100" w:leftChars="2500"/>
    </w:pPr>
  </w:style>
  <w:style w:type="paragraph" w:styleId="11">
    <w:name w:val="Body Text Indent 2"/>
    <w:basedOn w:val="1"/>
    <w:link w:val="49"/>
    <w:qFormat/>
    <w:uiPriority w:val="0"/>
    <w:pPr>
      <w:spacing w:after="120" w:line="480" w:lineRule="auto"/>
      <w:ind w:left="420" w:leftChars="200"/>
      <w:textAlignment w:val="bottom"/>
    </w:pPr>
    <w:rPr>
      <w:rFonts w:ascii="Times New Roman" w:hAnsi="Times New Roman" w:eastAsia="宋体" w:cs="Times New Roman"/>
      <w:kern w:val="0"/>
      <w:sz w:val="20"/>
      <w:szCs w:val="20"/>
    </w:rPr>
  </w:style>
  <w:style w:type="paragraph" w:styleId="12">
    <w:name w:val="Balloon Text"/>
    <w:basedOn w:val="1"/>
    <w:link w:val="51"/>
    <w:semiHidden/>
    <w:qFormat/>
    <w:uiPriority w:val="0"/>
    <w:rPr>
      <w:rFonts w:ascii="Times New Roman" w:hAnsi="Times New Roman" w:eastAsia="宋体" w:cs="Times New Roman"/>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rFonts w:ascii="Times New Roman" w:hAnsi="Times New Roman" w:eastAsia="宋体" w:cs="Times New Roman"/>
      <w:szCs w:val="20"/>
    </w:rPr>
  </w:style>
  <w:style w:type="paragraph" w:styleId="16">
    <w:name w:val="toc 2"/>
    <w:basedOn w:val="1"/>
    <w:next w:val="1"/>
    <w:qFormat/>
    <w:uiPriority w:val="39"/>
    <w:pPr>
      <w:ind w:left="420" w:leftChars="200"/>
    </w:pPr>
    <w:rPr>
      <w:rFonts w:ascii="Times New Roman" w:hAnsi="Times New Roman" w:eastAsia="宋体" w:cs="Times New Roman"/>
      <w:szCs w:val="20"/>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0"/>
    <w:rPr>
      <w:color w:val="338DE6"/>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qFormat/>
    <w:uiPriority w:val="99"/>
    <w:rPr>
      <w:color w:val="666666"/>
      <w:u w:val="none"/>
    </w:rPr>
  </w:style>
  <w:style w:type="character" w:styleId="27">
    <w:name w:val="HTML Code"/>
    <w:basedOn w:val="19"/>
    <w:qFormat/>
    <w:uiPriority w:val="0"/>
    <w:rPr>
      <w:rFonts w:ascii="monospace" w:hAnsi="monospace" w:eastAsia="monospace" w:cs="monospace"/>
      <w:sz w:val="21"/>
      <w:szCs w:val="21"/>
    </w:rPr>
  </w:style>
  <w:style w:type="character" w:styleId="28">
    <w:name w:val="HTML Cite"/>
    <w:basedOn w:val="19"/>
    <w:qFormat/>
    <w:uiPriority w:val="0"/>
  </w:style>
  <w:style w:type="character" w:styleId="29">
    <w:name w:val="HTML Keyboard"/>
    <w:basedOn w:val="19"/>
    <w:qFormat/>
    <w:uiPriority w:val="0"/>
    <w:rPr>
      <w:rFonts w:hint="default" w:ascii="monospace" w:hAnsi="monospace" w:eastAsia="monospace" w:cs="monospace"/>
      <w:sz w:val="21"/>
      <w:szCs w:val="21"/>
    </w:rPr>
  </w:style>
  <w:style w:type="character" w:styleId="30">
    <w:name w:val="HTML Sample"/>
    <w:basedOn w:val="19"/>
    <w:qFormat/>
    <w:uiPriority w:val="0"/>
    <w:rPr>
      <w:rFonts w:hint="default" w:ascii="monospace" w:hAnsi="monospace" w:eastAsia="monospace" w:cs="monospace"/>
      <w:sz w:val="21"/>
      <w:szCs w:val="21"/>
    </w:rPr>
  </w:style>
  <w:style w:type="character" w:customStyle="1" w:styleId="31">
    <w:name w:val="页眉 Char"/>
    <w:basedOn w:val="19"/>
    <w:link w:val="14"/>
    <w:qFormat/>
    <w:uiPriority w:val="99"/>
    <w:rPr>
      <w:sz w:val="18"/>
      <w:szCs w:val="18"/>
    </w:rPr>
  </w:style>
  <w:style w:type="character" w:customStyle="1" w:styleId="32">
    <w:name w:val="页脚 Char"/>
    <w:basedOn w:val="19"/>
    <w:link w:val="13"/>
    <w:qFormat/>
    <w:uiPriority w:val="99"/>
    <w:rPr>
      <w:sz w:val="18"/>
      <w:szCs w:val="18"/>
    </w:rPr>
  </w:style>
  <w:style w:type="character" w:customStyle="1" w:styleId="33">
    <w:name w:val="日期 Char"/>
    <w:basedOn w:val="19"/>
    <w:link w:val="10"/>
    <w:semiHidden/>
    <w:qFormat/>
    <w:uiPriority w:val="99"/>
  </w:style>
  <w:style w:type="character" w:customStyle="1" w:styleId="34">
    <w:name w:val="标题 1 Char"/>
    <w:basedOn w:val="19"/>
    <w:link w:val="2"/>
    <w:qFormat/>
    <w:uiPriority w:val="0"/>
    <w:rPr>
      <w:rFonts w:ascii="Arial" w:hAnsi="Arial" w:eastAsia="黑体" w:cs="Times New Roman"/>
      <w:kern w:val="0"/>
      <w:sz w:val="32"/>
      <w:szCs w:val="20"/>
    </w:rPr>
  </w:style>
  <w:style w:type="character" w:customStyle="1" w:styleId="35">
    <w:name w:val="标题 2 Char"/>
    <w:basedOn w:val="19"/>
    <w:link w:val="3"/>
    <w:semiHidden/>
    <w:qFormat/>
    <w:uiPriority w:val="0"/>
    <w:rPr>
      <w:rFonts w:asciiTheme="majorHAnsi" w:hAnsiTheme="majorHAnsi" w:eastAsiaTheme="majorEastAsia" w:cstheme="majorBidi"/>
      <w:b/>
      <w:bCs/>
      <w:sz w:val="32"/>
      <w:szCs w:val="32"/>
    </w:rPr>
  </w:style>
  <w:style w:type="character" w:customStyle="1" w:styleId="36">
    <w:name w:val="正文文本缩进 Char"/>
    <w:basedOn w:val="19"/>
    <w:link w:val="8"/>
    <w:qFormat/>
    <w:uiPriority w:val="0"/>
    <w:rPr>
      <w:rFonts w:ascii="楷体_GB2312" w:hAnsi="宋体" w:eastAsia="楷体_GB2312" w:cs="Times New Roman"/>
      <w:sz w:val="30"/>
      <w:szCs w:val="20"/>
    </w:rPr>
  </w:style>
  <w:style w:type="character" w:customStyle="1" w:styleId="37">
    <w:name w:val="标题 4 Char"/>
    <w:basedOn w:val="19"/>
    <w:link w:val="4"/>
    <w:semiHidden/>
    <w:qFormat/>
    <w:uiPriority w:val="9"/>
    <w:rPr>
      <w:rFonts w:asciiTheme="majorHAnsi" w:hAnsiTheme="majorHAnsi" w:eastAsiaTheme="majorEastAsia" w:cstheme="majorBidi"/>
      <w:b/>
      <w:bCs/>
      <w:sz w:val="28"/>
      <w:szCs w:val="28"/>
    </w:rPr>
  </w:style>
  <w:style w:type="character" w:customStyle="1" w:styleId="38">
    <w:name w:val="正文文本 Char"/>
    <w:basedOn w:val="19"/>
    <w:link w:val="7"/>
    <w:semiHidden/>
    <w:qFormat/>
    <w:uiPriority w:val="99"/>
  </w:style>
  <w:style w:type="character" w:customStyle="1" w:styleId="39">
    <w:name w:val="fontstrikethrough"/>
    <w:basedOn w:val="19"/>
    <w:qFormat/>
    <w:uiPriority w:val="0"/>
    <w:rPr>
      <w:strike/>
    </w:rPr>
  </w:style>
  <w:style w:type="character" w:customStyle="1" w:styleId="40">
    <w:name w:val="下标[858D7CFB-ED40-4347-BF05-701D383B685F]"/>
    <w:link w:val="41"/>
    <w:qFormat/>
    <w:uiPriority w:val="0"/>
    <w:rPr>
      <w:kern w:val="0"/>
      <w:sz w:val="20"/>
      <w:vertAlign w:val="subscript"/>
    </w:rPr>
  </w:style>
  <w:style w:type="paragraph" w:customStyle="1" w:styleId="41">
    <w:name w:val="下标"/>
    <w:basedOn w:val="1"/>
    <w:link w:val="40"/>
    <w:qFormat/>
    <w:uiPriority w:val="0"/>
    <w:rPr>
      <w:kern w:val="0"/>
      <w:sz w:val="20"/>
      <w:vertAlign w:val="subscript"/>
    </w:rPr>
  </w:style>
  <w:style w:type="character" w:customStyle="1" w:styleId="42">
    <w:name w:val="样式4 Char Char"/>
    <w:basedOn w:val="19"/>
    <w:link w:val="43"/>
    <w:qFormat/>
    <w:locked/>
    <w:uiPriority w:val="0"/>
    <w:rPr>
      <w:rFonts w:ascii="Arial" w:hAnsi="Arial"/>
      <w:b/>
      <w:bCs/>
      <w:szCs w:val="21"/>
    </w:rPr>
  </w:style>
  <w:style w:type="paragraph" w:customStyle="1" w:styleId="43">
    <w:name w:val="样式4"/>
    <w:basedOn w:val="1"/>
    <w:link w:val="42"/>
    <w:qFormat/>
    <w:uiPriority w:val="0"/>
    <w:pPr>
      <w:adjustRightInd w:val="0"/>
      <w:snapToGrid w:val="0"/>
      <w:spacing w:before="280" w:after="290"/>
      <w:outlineLvl w:val="3"/>
    </w:pPr>
    <w:rPr>
      <w:rFonts w:ascii="Arial" w:hAnsi="Arial"/>
      <w:b/>
      <w:bCs/>
      <w:szCs w:val="21"/>
    </w:rPr>
  </w:style>
  <w:style w:type="character" w:customStyle="1" w:styleId="44">
    <w:name w:val="表格[858D7CFB-ED40-4347-BF05-701D383B685F]"/>
    <w:link w:val="45"/>
    <w:qFormat/>
    <w:uiPriority w:val="0"/>
    <w:rPr>
      <w:kern w:val="0"/>
    </w:rPr>
  </w:style>
  <w:style w:type="paragraph" w:customStyle="1" w:styleId="45">
    <w:name w:val="表格"/>
    <w:basedOn w:val="1"/>
    <w:link w:val="44"/>
    <w:qFormat/>
    <w:uiPriority w:val="0"/>
    <w:rPr>
      <w:kern w:val="0"/>
    </w:rPr>
  </w:style>
  <w:style w:type="character" w:customStyle="1" w:styleId="46">
    <w:name w:val="上标 Char"/>
    <w:link w:val="47"/>
    <w:qFormat/>
    <w:uiPriority w:val="0"/>
    <w:rPr>
      <w:kern w:val="0"/>
      <w:sz w:val="20"/>
      <w:vertAlign w:val="superscript"/>
    </w:rPr>
  </w:style>
  <w:style w:type="paragraph" w:customStyle="1" w:styleId="47">
    <w:name w:val="上标"/>
    <w:basedOn w:val="1"/>
    <w:link w:val="46"/>
    <w:qFormat/>
    <w:uiPriority w:val="0"/>
    <w:rPr>
      <w:kern w:val="0"/>
      <w:sz w:val="20"/>
      <w:vertAlign w:val="superscript"/>
    </w:rPr>
  </w:style>
  <w:style w:type="character" w:customStyle="1" w:styleId="48">
    <w:name w:val="fontborder"/>
    <w:basedOn w:val="19"/>
    <w:qFormat/>
    <w:uiPriority w:val="0"/>
    <w:rPr>
      <w:bdr w:val="single" w:color="000000" w:sz="6" w:space="0"/>
    </w:rPr>
  </w:style>
  <w:style w:type="character" w:customStyle="1" w:styleId="49">
    <w:name w:val="正文文本缩进 2 Char"/>
    <w:basedOn w:val="19"/>
    <w:link w:val="11"/>
    <w:qFormat/>
    <w:uiPriority w:val="0"/>
    <w:rPr>
      <w:rFonts w:ascii="Times New Roman" w:hAnsi="Times New Roman" w:eastAsia="宋体" w:cs="Times New Roman"/>
      <w:kern w:val="0"/>
      <w:sz w:val="20"/>
      <w:szCs w:val="20"/>
    </w:rPr>
  </w:style>
  <w:style w:type="character" w:customStyle="1" w:styleId="50">
    <w:name w:val="纯文本 Char"/>
    <w:basedOn w:val="19"/>
    <w:link w:val="9"/>
    <w:qFormat/>
    <w:uiPriority w:val="0"/>
    <w:rPr>
      <w:rFonts w:ascii="宋体" w:hAnsi="Courier New" w:eastAsia="宋体" w:cs="Courier New"/>
      <w:szCs w:val="21"/>
    </w:rPr>
  </w:style>
  <w:style w:type="character" w:customStyle="1" w:styleId="51">
    <w:name w:val="批注框文本 Char"/>
    <w:basedOn w:val="19"/>
    <w:link w:val="12"/>
    <w:semiHidden/>
    <w:qFormat/>
    <w:uiPriority w:val="0"/>
    <w:rPr>
      <w:rFonts w:ascii="Times New Roman" w:hAnsi="Times New Roman" w:eastAsia="宋体" w:cs="Times New Roman"/>
      <w:sz w:val="18"/>
      <w:szCs w:val="18"/>
    </w:rPr>
  </w:style>
  <w:style w:type="paragraph" w:customStyle="1" w:styleId="52">
    <w:name w:val="无间隔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53">
    <w:name w:val="列出段落1"/>
    <w:basedOn w:val="1"/>
    <w:qFormat/>
    <w:uiPriority w:val="0"/>
    <w:pPr>
      <w:ind w:firstLine="420" w:firstLineChars="200"/>
    </w:pPr>
    <w:rPr>
      <w:rFonts w:ascii="Times New Roman" w:hAnsi="Times New Roman" w:eastAsia="宋体" w:cs="Times New Roman"/>
      <w:sz w:val="28"/>
    </w:rPr>
  </w:style>
  <w:style w:type="paragraph" w:customStyle="1" w:styleId="54">
    <w:name w:val="样式6"/>
    <w:basedOn w:val="1"/>
    <w:qFormat/>
    <w:uiPriority w:val="0"/>
    <w:pPr>
      <w:widowControl/>
      <w:snapToGrid w:val="0"/>
      <w:jc w:val="center"/>
    </w:pPr>
    <w:rPr>
      <w:rFonts w:ascii="黑体" w:hAnsi="Times New Roman" w:eastAsia="黑体" w:cs="Times New Roman"/>
      <w:kern w:val="0"/>
      <w:szCs w:val="21"/>
    </w:rPr>
  </w:style>
  <w:style w:type="paragraph" w:customStyle="1" w:styleId="55">
    <w:name w:val="新（正文）"/>
    <w:basedOn w:val="1"/>
    <w:qFormat/>
    <w:uiPriority w:val="0"/>
    <w:pPr>
      <w:snapToGrid w:val="0"/>
      <w:spacing w:line="360" w:lineRule="auto"/>
      <w:ind w:firstLine="200" w:firstLineChars="200"/>
    </w:pPr>
    <w:rPr>
      <w:rFonts w:ascii="Times New Roman" w:hAnsi="Times New Roman" w:eastAsia="宋体" w:cs="Times New Roman"/>
      <w:bCs/>
      <w:color w:val="000000"/>
      <w:sz w:val="28"/>
      <w:szCs w:val="28"/>
    </w:rPr>
  </w:style>
  <w:style w:type="character" w:customStyle="1" w:styleId="56">
    <w:name w:val="二级标题 Char Char"/>
    <w:basedOn w:val="19"/>
    <w:link w:val="57"/>
    <w:qFormat/>
    <w:uiPriority w:val="0"/>
    <w:rPr>
      <w:rFonts w:eastAsia="宋体"/>
      <w:b/>
      <w:bCs/>
      <w:sz w:val="30"/>
      <w:szCs w:val="32"/>
    </w:rPr>
  </w:style>
  <w:style w:type="paragraph" w:customStyle="1" w:styleId="57">
    <w:name w:val="二级标题"/>
    <w:basedOn w:val="1"/>
    <w:next w:val="1"/>
    <w:link w:val="56"/>
    <w:qFormat/>
    <w:uiPriority w:val="0"/>
    <w:pPr>
      <w:spacing w:line="360" w:lineRule="auto"/>
      <w:jc w:val="left"/>
      <w:outlineLvl w:val="1"/>
    </w:pPr>
    <w:rPr>
      <w:rFonts w:eastAsia="宋体"/>
      <w:b/>
      <w:bCs/>
      <w:sz w:val="30"/>
      <w:szCs w:val="32"/>
    </w:rPr>
  </w:style>
  <w:style w:type="character" w:customStyle="1" w:styleId="58">
    <w:name w:val="四级标题 Char Char"/>
    <w:basedOn w:val="19"/>
    <w:link w:val="59"/>
    <w:qFormat/>
    <w:uiPriority w:val="0"/>
    <w:rPr>
      <w:rFonts w:eastAsia="宋体"/>
      <w:b/>
      <w:sz w:val="24"/>
    </w:rPr>
  </w:style>
  <w:style w:type="paragraph" w:customStyle="1" w:styleId="59">
    <w:name w:val="四级标题"/>
    <w:basedOn w:val="1"/>
    <w:next w:val="1"/>
    <w:link w:val="58"/>
    <w:qFormat/>
    <w:uiPriority w:val="0"/>
    <w:pPr>
      <w:spacing w:line="360" w:lineRule="auto"/>
      <w:jc w:val="left"/>
      <w:outlineLvl w:val="3"/>
    </w:pPr>
    <w:rPr>
      <w:rFonts w:eastAsia="宋体"/>
      <w:b/>
      <w:sz w:val="24"/>
    </w:rPr>
  </w:style>
  <w:style w:type="paragraph" w:customStyle="1" w:styleId="6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6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6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7">
    <w:name w:val="纯文本1"/>
    <w:basedOn w:val="1"/>
    <w:qFormat/>
    <w:uiPriority w:val="0"/>
    <w:rPr>
      <w:rFonts w:ascii="宋体" w:hAnsi="Courier New" w:eastAsia="宋体" w:cs="Century"/>
      <w:szCs w:val="21"/>
    </w:rPr>
  </w:style>
  <w:style w:type="paragraph" w:styleId="68">
    <w:name w:val="List Paragraph"/>
    <w:basedOn w:val="1"/>
    <w:qFormat/>
    <w:uiPriority w:val="34"/>
    <w:pPr>
      <w:ind w:firstLine="420" w:firstLineChars="200"/>
    </w:pPr>
    <w:rPr>
      <w:rFonts w:ascii="Times New Roman" w:hAnsi="Times New Roman" w:eastAsia="宋体" w:cs="Times New Roman"/>
      <w:szCs w:val="24"/>
    </w:rPr>
  </w:style>
  <w:style w:type="character" w:customStyle="1" w:styleId="69">
    <w:name w:val="正文缩进 Char"/>
    <w:basedOn w:val="19"/>
    <w:link w:val="5"/>
    <w:qFormat/>
    <w:uiPriority w:val="0"/>
    <w:rPr>
      <w:rFonts w:ascii="宋体"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8529D-77A8-4CF6-ADED-5D106DBE822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8344</Words>
  <Characters>9046</Characters>
  <Lines>158</Lines>
  <Paragraphs>44</Paragraphs>
  <TotalTime>8</TotalTime>
  <ScaleCrop>false</ScaleCrop>
  <LinksUpToDate>false</LinksUpToDate>
  <CharactersWithSpaces>9130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2018-12-24T01:35:00Z</dcterms:created>
  <dc:creator>china</dc:creator>
  <cp:lastModifiedBy>犀烛源流</cp:lastModifiedBy>
  <cp:lastPrinted>2019-12-15T23:50:00Z</cp:lastPrinted>
  <dcterms:modified xsi:type="dcterms:W3CDTF">2023-08-15T07:41:12Z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C04446B8F78A4AB9A5EA01400438A337_13</vt:lpwstr>
  </property>
</Properties>
</file>