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000000"/>
          <w:sz w:val="44"/>
          <w:szCs w:val="44"/>
          <w:lang w:val="en-US" w:eastAsia="zh-CN"/>
        </w:rPr>
      </w:pPr>
      <w:r>
        <w:rPr>
          <w:rFonts w:hint="eastAsia" w:ascii="宋体" w:hAnsi="宋体" w:eastAsia="宋体" w:cs="宋体"/>
          <w:b/>
          <w:bCs/>
          <w:color w:val="000000"/>
          <w:sz w:val="44"/>
          <w:szCs w:val="44"/>
          <w:lang w:val="en-US" w:eastAsia="zh-CN"/>
        </w:rPr>
        <w:t>旗发改委组织召开粮食领域</w:t>
      </w:r>
    </w:p>
    <w:p>
      <w:pPr>
        <w:jc w:val="center"/>
        <w:rPr>
          <w:rFonts w:hint="eastAsia" w:ascii="宋体" w:hAnsi="宋体" w:eastAsia="宋体" w:cs="宋体"/>
          <w:b/>
          <w:bCs/>
          <w:color w:val="000000"/>
          <w:sz w:val="44"/>
          <w:szCs w:val="44"/>
          <w:lang w:val="en-US" w:eastAsia="zh-CN"/>
        </w:rPr>
      </w:pPr>
      <w:r>
        <w:rPr>
          <w:rFonts w:hint="eastAsia" w:ascii="宋体" w:hAnsi="宋体" w:eastAsia="宋体" w:cs="宋体"/>
          <w:b/>
          <w:bCs/>
          <w:color w:val="000000"/>
          <w:sz w:val="44"/>
          <w:szCs w:val="44"/>
          <w:lang w:val="en-US" w:eastAsia="zh-CN"/>
        </w:rPr>
        <w:t>安全生产工作调度会</w:t>
      </w:r>
    </w:p>
    <w:p>
      <w:pPr>
        <w:jc w:val="center"/>
        <w:rPr>
          <w:rFonts w:hint="eastAsia" w:ascii="宋体" w:hAnsi="宋体" w:eastAsia="宋体" w:cs="宋体"/>
          <w:b/>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为深入贯彻落实习近平总书记关于安全生产的重要指示批示精神，落实好通辽市粮食和物资储备系统“以案为鉴警示教育月”相关要求，3月10日，旗发改委组织召开粮食领域安全生产调度会，</w:t>
      </w:r>
      <w:r>
        <w:rPr>
          <w:rFonts w:hint="eastAsia" w:ascii="仿宋_GB2312" w:hAnsi="仿宋_GB2312" w:eastAsia="仿宋_GB2312" w:cs="仿宋_GB2312"/>
          <w:i w:val="0"/>
          <w:caps w:val="0"/>
          <w:color w:val="auto"/>
          <w:spacing w:val="0"/>
          <w:sz w:val="32"/>
          <w:szCs w:val="32"/>
          <w:highlight w:val="none"/>
          <w:shd w:val="clear" w:color="auto" w:fill="FFFFFF"/>
        </w:rPr>
        <w:t>会议就</w:t>
      </w:r>
      <w:r>
        <w:rPr>
          <w:rFonts w:hint="eastAsia" w:ascii="仿宋_GB2312" w:hAnsi="仿宋_GB2312" w:eastAsia="仿宋_GB2312" w:cs="仿宋_GB2312"/>
          <w:b w:val="0"/>
          <w:bCs w:val="0"/>
          <w:color w:val="auto"/>
          <w:sz w:val="32"/>
          <w:szCs w:val="32"/>
          <w:highlight w:val="none"/>
          <w:lang w:val="en-US" w:eastAsia="zh-CN"/>
        </w:rPr>
        <w:t>落实好2023年安全生产工作进</w:t>
      </w:r>
      <w:r>
        <w:rPr>
          <w:rFonts w:hint="eastAsia" w:ascii="仿宋_GB2312" w:hAnsi="仿宋_GB2312" w:eastAsia="仿宋_GB2312" w:cs="仿宋_GB2312"/>
          <w:i w:val="0"/>
          <w:caps w:val="0"/>
          <w:color w:val="auto"/>
          <w:spacing w:val="0"/>
          <w:sz w:val="32"/>
          <w:szCs w:val="32"/>
          <w:highlight w:val="none"/>
          <w:shd w:val="clear" w:color="auto" w:fill="FFFFFF"/>
        </w:rPr>
        <w:t>行了</w:t>
      </w:r>
      <w:r>
        <w:rPr>
          <w:rFonts w:hint="eastAsia" w:ascii="仿宋_GB2312" w:hAnsi="仿宋_GB2312" w:eastAsia="仿宋_GB2312" w:cs="仿宋_GB2312"/>
          <w:b w:val="0"/>
          <w:bCs w:val="0"/>
          <w:color w:val="auto"/>
          <w:sz w:val="32"/>
          <w:szCs w:val="32"/>
          <w:highlight w:val="none"/>
          <w:lang w:val="en-US" w:eastAsia="zh-CN"/>
        </w:rPr>
        <w:t>全面</w:t>
      </w:r>
      <w:r>
        <w:rPr>
          <w:rFonts w:hint="eastAsia" w:ascii="仿宋_GB2312" w:hAnsi="仿宋_GB2312" w:eastAsia="仿宋_GB2312" w:cs="仿宋_GB2312"/>
          <w:i w:val="0"/>
          <w:caps w:val="0"/>
          <w:color w:val="auto"/>
          <w:spacing w:val="0"/>
          <w:sz w:val="32"/>
          <w:szCs w:val="32"/>
          <w:highlight w:val="none"/>
          <w:shd w:val="clear" w:color="auto" w:fill="FFFFFF"/>
          <w:lang w:val="en-US" w:eastAsia="zh-CN"/>
        </w:rPr>
        <w:t>安排</w:t>
      </w:r>
      <w:r>
        <w:rPr>
          <w:rFonts w:hint="eastAsia" w:ascii="仿宋_GB2312" w:hAnsi="仿宋_GB2312" w:eastAsia="仿宋_GB2312" w:cs="仿宋_GB2312"/>
          <w:i w:val="0"/>
          <w:caps w:val="0"/>
          <w:color w:val="auto"/>
          <w:spacing w:val="0"/>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lang w:val="en-US" w:eastAsia="zh-CN"/>
        </w:rPr>
        <w:t>辖区内40余家粮食收储企业负责人参加会议</w:t>
      </w:r>
      <w:r>
        <w:rPr>
          <w:rFonts w:hint="eastAsia" w:ascii="仿宋_GB2312" w:hAnsi="仿宋_GB2312" w:eastAsia="仿宋_GB2312" w:cs="仿宋_GB2312"/>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会上，集中学习了</w:t>
      </w:r>
      <w:r>
        <w:rPr>
          <w:rFonts w:hint="eastAsia" w:ascii="仿宋_GB2312" w:hAnsi="仿宋_GB2312" w:eastAsia="仿宋_GB2312" w:cs="仿宋_GB2312"/>
          <w:b w:val="0"/>
          <w:bCs w:val="0"/>
          <w:color w:val="000000"/>
          <w:sz w:val="32"/>
          <w:szCs w:val="32"/>
          <w:highlight w:val="none"/>
          <w:lang w:val="en-US" w:eastAsia="zh-CN"/>
        </w:rPr>
        <w:t>习</w:t>
      </w:r>
      <w:r>
        <w:rPr>
          <w:rFonts w:hint="eastAsia" w:ascii="仿宋_GB2312" w:hAnsi="仿宋_GB2312" w:eastAsia="仿宋_GB2312" w:cs="仿宋_GB2312"/>
          <w:color w:val="auto"/>
          <w:sz w:val="32"/>
          <w:szCs w:val="32"/>
          <w:highlight w:val="none"/>
          <w:lang w:val="en-US" w:eastAsia="zh-CN"/>
        </w:rPr>
        <w:t>近平总书记对内蒙古阿拉善左旗一露天煤矿坍塌事故作出重要指示精神，传达了《奈曼旗发改委安全隐患大排查大整治暨安保维稳工作方案》《奈曼旗2023年度粮食流通巡查检查工作方案》具体要求，并指导与会粮食企业熟练掌握</w:t>
      </w:r>
      <w:r>
        <w:rPr>
          <w:rFonts w:hint="eastAsia" w:ascii="仿宋_GB2312" w:hAnsi="仿宋_GB2312" w:eastAsia="仿宋_GB2312" w:cs="仿宋_GB2312"/>
          <w:b w:val="0"/>
          <w:bCs w:val="0"/>
          <w:color w:val="auto"/>
          <w:sz w:val="32"/>
          <w:szCs w:val="32"/>
          <w:highlight w:val="none"/>
          <w:lang w:val="en-US" w:eastAsia="zh-CN"/>
        </w:rPr>
        <w:t>国家粮油统计系统填报流程，集中观看了安全生产案例警示教育片。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color w:val="auto"/>
          <w:sz w:val="32"/>
          <w:szCs w:val="32"/>
          <w:highlight w:val="none"/>
          <w:lang w:val="en-US" w:eastAsia="zh-CN"/>
        </w:rPr>
        <w:t>会议强调，</w:t>
      </w:r>
      <w:r>
        <w:rPr>
          <w:rFonts w:hint="eastAsia" w:ascii="仿宋_GB2312" w:hAnsi="仿宋_GB2312" w:eastAsia="仿宋_GB2312" w:cs="仿宋_GB2312"/>
          <w:b w:val="0"/>
          <w:bCs w:val="0"/>
          <w:color w:val="000000"/>
          <w:sz w:val="32"/>
          <w:szCs w:val="32"/>
          <w:highlight w:val="none"/>
          <w:lang w:val="en-US" w:eastAsia="zh-CN"/>
        </w:rPr>
        <w:t>各粮食收储企业要认真贯彻落实党的二十大精神和中央纪委二次全会工作部署，</w:t>
      </w:r>
      <w:bookmarkStart w:id="0" w:name="_GoBack"/>
      <w:bookmarkEnd w:id="0"/>
      <w:r>
        <w:rPr>
          <w:rFonts w:hint="eastAsia" w:ascii="仿宋_GB2312" w:hAnsi="仿宋_GB2312" w:eastAsia="仿宋_GB2312" w:cs="仿宋_GB2312"/>
          <w:b w:val="0"/>
          <w:bCs w:val="0"/>
          <w:color w:val="000000"/>
          <w:sz w:val="32"/>
          <w:szCs w:val="32"/>
          <w:highlight w:val="none"/>
          <w:lang w:val="en-US" w:eastAsia="zh-CN"/>
        </w:rPr>
        <w:t>深刻汲取近期重大安全生产事故教训，强化企业主体责任，抓好职工培训，紧盯重点环节，加强</w:t>
      </w:r>
      <w:r>
        <w:rPr>
          <w:rFonts w:hint="eastAsia" w:ascii="仿宋_GB2312" w:hAnsi="仿宋_GB2312" w:eastAsia="仿宋_GB2312" w:cs="仿宋_GB2312"/>
          <w:b w:val="0"/>
          <w:bCs w:val="0"/>
          <w:color w:val="000000"/>
          <w:sz w:val="32"/>
          <w:szCs w:val="32"/>
          <w:lang w:val="en-US" w:eastAsia="zh-CN"/>
        </w:rPr>
        <w:t>自查力度，切实做好全国两会期间安保维稳工作</w:t>
      </w: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t>。此次会议</w:t>
      </w:r>
      <w:r>
        <w:rPr>
          <w:rFonts w:hint="eastAsia" w:ascii="仿宋_GB2312" w:hAnsi="仿宋_GB2312" w:eastAsia="仿宋_GB2312" w:cs="仿宋_GB2312"/>
          <w:b w:val="0"/>
          <w:bCs w:val="0"/>
          <w:color w:val="auto"/>
          <w:sz w:val="32"/>
          <w:szCs w:val="32"/>
          <w:lang w:val="en-US" w:eastAsia="zh-CN"/>
        </w:rPr>
        <w:t>切实</w:t>
      </w:r>
      <w:r>
        <w:rPr>
          <w:rFonts w:hint="eastAsia" w:ascii="仿宋_GB2312" w:hAnsi="仿宋_GB2312" w:eastAsia="仿宋_GB2312" w:cs="仿宋_GB2312"/>
          <w:b w:val="0"/>
          <w:bCs w:val="0"/>
          <w:color w:val="000000"/>
          <w:sz w:val="32"/>
          <w:szCs w:val="32"/>
          <w:lang w:val="en-US" w:eastAsia="zh-CN"/>
        </w:rPr>
        <w:t>提高了企业安全生产主体责任意识，有力推动了粮食领域</w:t>
      </w:r>
      <w:r>
        <w:rPr>
          <w:rFonts w:hint="eastAsia" w:ascii="仿宋_GB2312" w:hAnsi="仿宋_GB2312" w:eastAsia="仿宋_GB2312" w:cs="仿宋_GB2312"/>
          <w:color w:val="auto"/>
          <w:sz w:val="32"/>
          <w:szCs w:val="32"/>
          <w:lang w:val="en-US" w:eastAsia="zh-CN"/>
        </w:rPr>
        <w:t>安全生产各项任务取得进展。</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caps w:val="0"/>
          <w:color w:val="000000"/>
          <w:spacing w:val="0"/>
          <w:sz w:val="32"/>
          <w:szCs w:val="32"/>
          <w:shd w:val="clear" w:color="auto" w:fill="FFFFFF"/>
          <w:lang w:val="en-US" w:eastAsia="zh-CN"/>
        </w:rPr>
        <w:drawing>
          <wp:inline distT="0" distB="0" distL="0" distR="0">
            <wp:extent cx="5579110" cy="3968115"/>
            <wp:effectExtent l="0" t="0" r="2540" b="13334"/>
            <wp:docPr id="1026" name="图片 1" descr="350f1d7091f895ef8e3b8d029590c93"/>
            <wp:cNvGraphicFramePr/>
            <a:graphic xmlns:a="http://schemas.openxmlformats.org/drawingml/2006/main">
              <a:graphicData uri="http://schemas.openxmlformats.org/drawingml/2006/picture">
                <pic:pic xmlns:pic="http://schemas.openxmlformats.org/drawingml/2006/picture">
                  <pic:nvPicPr>
                    <pic:cNvPr id="1026" name="图片 1" descr="350f1d7091f895ef8e3b8d029590c93"/>
                    <pic:cNvPicPr/>
                  </pic:nvPicPr>
                  <pic:blipFill>
                    <a:blip r:embed="rId4" cstate="print"/>
                    <a:srcRect/>
                    <a:stretch>
                      <a:fillRect/>
                    </a:stretch>
                  </pic:blipFill>
                  <pic:spPr>
                    <a:xfrm>
                      <a:off x="0" y="0"/>
                      <a:ext cx="5579110" cy="3968115"/>
                    </a:xfrm>
                    <a:prstGeom prst="rect">
                      <a:avLst/>
                    </a:prstGeom>
                  </pic:spPr>
                </pic:pic>
              </a:graphicData>
            </a:graphic>
          </wp:inline>
        </w:drawing>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0" distR="0">
            <wp:extent cx="5596255" cy="3683635"/>
            <wp:effectExtent l="0" t="0" r="4445" b="12065"/>
            <wp:docPr id="1027" name="图片 2" descr="06ae74c92026f2c2201ca2ff076d1e5"/>
            <wp:cNvGraphicFramePr/>
            <a:graphic xmlns:a="http://schemas.openxmlformats.org/drawingml/2006/main">
              <a:graphicData uri="http://schemas.openxmlformats.org/drawingml/2006/picture">
                <pic:pic xmlns:pic="http://schemas.openxmlformats.org/drawingml/2006/picture">
                  <pic:nvPicPr>
                    <pic:cNvPr id="1027" name="图片 2" descr="06ae74c92026f2c2201ca2ff076d1e5"/>
                    <pic:cNvPicPr/>
                  </pic:nvPicPr>
                  <pic:blipFill>
                    <a:blip r:embed="rId5" cstate="print"/>
                    <a:srcRect/>
                    <a:stretch>
                      <a:fillRect/>
                    </a:stretch>
                  </pic:blipFill>
                  <pic:spPr>
                    <a:xfrm>
                      <a:off x="0" y="0"/>
                      <a:ext cx="5596255" cy="3683635"/>
                    </a:xfrm>
                    <a:prstGeom prst="rect">
                      <a:avLst/>
                    </a:prstGeom>
                  </pic:spPr>
                </pic:pic>
              </a:graphicData>
            </a:graphic>
          </wp:inline>
        </w:drawing>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0" distR="0">
            <wp:extent cx="5579110" cy="3991610"/>
            <wp:effectExtent l="0" t="0" r="2540" b="8890"/>
            <wp:docPr id="1028" name="图片 3" descr="cc196ebfa80a316abd8035dceff6fcf"/>
            <wp:cNvGraphicFramePr/>
            <a:graphic xmlns:a="http://schemas.openxmlformats.org/drawingml/2006/main">
              <a:graphicData uri="http://schemas.openxmlformats.org/drawingml/2006/picture">
                <pic:pic xmlns:pic="http://schemas.openxmlformats.org/drawingml/2006/picture">
                  <pic:nvPicPr>
                    <pic:cNvPr id="1028" name="图片 3" descr="cc196ebfa80a316abd8035dceff6fcf"/>
                    <pic:cNvPicPr/>
                  </pic:nvPicPr>
                  <pic:blipFill>
                    <a:blip r:embed="rId6" cstate="print"/>
                    <a:srcRect/>
                    <a:stretch>
                      <a:fillRect/>
                    </a:stretch>
                  </pic:blipFill>
                  <pic:spPr>
                    <a:xfrm>
                      <a:off x="0" y="0"/>
                      <a:ext cx="5579110" cy="3991610"/>
                    </a:xfrm>
                    <a:prstGeom prst="rect">
                      <a:avLst/>
                    </a:prstGeom>
                  </pic:spPr>
                </pic:pic>
              </a:graphicData>
            </a:graphic>
          </wp:inline>
        </w:drawing>
      </w:r>
      <w:r>
        <w:drawing>
          <wp:inline distT="0" distB="0" distL="114300" distR="114300">
            <wp:extent cx="5660390" cy="4582795"/>
            <wp:effectExtent l="0" t="0" r="0" b="0"/>
            <wp:docPr id="1029" name="Image1"/>
            <wp:cNvGraphicFramePr/>
            <a:graphic xmlns:a="http://schemas.openxmlformats.org/drawingml/2006/main">
              <a:graphicData uri="http://schemas.openxmlformats.org/drawingml/2006/picture">
                <pic:pic xmlns:pic="http://schemas.openxmlformats.org/drawingml/2006/picture">
                  <pic:nvPicPr>
                    <pic:cNvPr id="1029" name="Image1"/>
                    <pic:cNvPicPr/>
                  </pic:nvPicPr>
                  <pic:blipFill>
                    <a:blip r:embed="rId7" cstate="print"/>
                    <a:srcRect/>
                    <a:stretch>
                      <a:fillRect/>
                    </a:stretch>
                  </pic:blipFill>
                  <pic:spPr>
                    <a:xfrm>
                      <a:off x="0" y="0"/>
                      <a:ext cx="5660717" cy="4583373"/>
                    </a:xfrm>
                    <a:prstGeom prst="rect">
                      <a:avLst/>
                    </a:prstGeom>
                  </pic:spPr>
                </pic:pic>
              </a:graphicData>
            </a:graphic>
          </wp:inline>
        </w:drawing>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wYWIyMjgwMjM1OWJhYjVhMDUyMWZmOGY1NjMwNjcifQ=="/>
  </w:docVars>
  <w:rsids>
    <w:rsidRoot w:val="00000000"/>
    <w:rsid w:val="18E11E1D"/>
    <w:rsid w:val="3C43677B"/>
    <w:rsid w:val="78847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453</Words>
  <Characters>461</Characters>
  <Paragraphs>10</Paragraphs>
  <TotalTime>24</TotalTime>
  <ScaleCrop>false</ScaleCrop>
  <LinksUpToDate>false</LinksUpToDate>
  <CharactersWithSpaces>461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2023-03-10T06:46:00Z</dcterms:created>
  <dc:creator>Administrator</dc:creator>
  <cp:lastModifiedBy>兴儿</cp:lastModifiedBy>
  <dcterms:modified xsi:type="dcterms:W3CDTF">2023-03-10T09:04:44Z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8968945663914028B10CD08D9A8CB58A</vt:lpwstr>
  </property>
</Properties>
</file>