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0" w:firstLineChars="0"/>
        <w:jc w:val="center"/>
        <w:rPr>
          <w:rFonts w:ascii="方正小标宋简体" w:hAnsi="方正小标宋简体" w:eastAsia="方正小标宋简体" w:cs="方正小标宋简体"/>
          <w:sz w:val="36"/>
          <w:szCs w:val="36"/>
        </w:rPr>
      </w:pPr>
      <w:bookmarkStart w:id="0" w:name="_GoBack"/>
      <w:bookmarkEnd w:id="0"/>
    </w:p>
    <w:p>
      <w:pPr>
        <w:ind w:firstLine="0" w:firstLineChars="0"/>
        <w:jc w:val="center"/>
        <w:rPr>
          <w:rFonts w:ascii="方正小标宋简体" w:hAnsi="方正小标宋简体" w:eastAsia="方正小标宋简体" w:cs="方正小标宋简体"/>
          <w:sz w:val="36"/>
          <w:szCs w:val="36"/>
        </w:rPr>
      </w:pPr>
    </w:p>
    <w:p>
      <w:pPr>
        <w:ind w:firstLine="0" w:firstLineChars="0"/>
        <w:jc w:val="center"/>
        <w:rPr>
          <w:rFonts w:ascii="方正小标宋简体" w:hAnsi="方正小标宋简体" w:eastAsia="方正小标宋简体" w:cs="方正小标宋简体"/>
          <w:sz w:val="36"/>
          <w:szCs w:val="36"/>
        </w:rPr>
      </w:pPr>
    </w:p>
    <w:p>
      <w:pPr>
        <w:ind w:firstLine="0" w:firstLineChars="0"/>
        <w:jc w:val="center"/>
        <w:rPr>
          <w:rFonts w:ascii="仿宋_GB2312" w:hAnsi="仿宋_GB2312" w:cs="仿宋_GB2312"/>
          <w:szCs w:val="32"/>
        </w:rPr>
      </w:pPr>
    </w:p>
    <w:p>
      <w:pPr>
        <w:ind w:firstLine="0" w:firstLineChars="0"/>
        <w:jc w:val="center"/>
        <w:rPr>
          <w:rFonts w:ascii="仿宋_GB2312" w:hAnsi="仿宋_GB2312" w:cs="仿宋_GB2312"/>
          <w:szCs w:val="32"/>
        </w:rPr>
      </w:pPr>
    </w:p>
    <w:p>
      <w:pPr>
        <w:ind w:firstLine="0" w:firstLineChars="0"/>
        <w:jc w:val="center"/>
        <w:rPr>
          <w:rFonts w:ascii="仿宋_GB2312" w:hAnsi="仿宋_GB2312" w:cs="仿宋_GB2312"/>
          <w:szCs w:val="32"/>
        </w:rPr>
      </w:pPr>
    </w:p>
    <w:p>
      <w:pPr>
        <w:ind w:firstLine="0" w:firstLineChars="0"/>
        <w:jc w:val="center"/>
        <w:rPr>
          <w:rFonts w:ascii="仿宋_GB2312" w:hAnsi="仿宋_GB2312" w:cs="仿宋_GB2312"/>
          <w:szCs w:val="32"/>
        </w:rPr>
      </w:pPr>
    </w:p>
    <w:p>
      <w:pPr>
        <w:ind w:firstLine="0" w:firstLineChars="0"/>
        <w:jc w:val="center"/>
        <w:rPr>
          <w:rFonts w:ascii="仿宋_GB2312" w:hAnsi="仿宋_GB2312" w:cs="仿宋_GB2312"/>
          <w:szCs w:val="32"/>
        </w:rPr>
      </w:pPr>
    </w:p>
    <w:p>
      <w:pPr>
        <w:ind w:firstLine="0" w:firstLineChars="0"/>
        <w:jc w:val="center"/>
        <w:rPr>
          <w:rFonts w:ascii="仿宋_GB2312" w:hAnsi="仿宋_GB2312" w:cs="仿宋_GB2312"/>
          <w:szCs w:val="32"/>
        </w:rPr>
      </w:pPr>
    </w:p>
    <w:p>
      <w:pPr>
        <w:ind w:firstLine="0" w:firstLineChars="0"/>
        <w:jc w:val="center"/>
        <w:rPr>
          <w:rFonts w:ascii="仿宋_GB2312" w:hAnsi="仿宋_GB2312" w:cs="仿宋_GB2312"/>
          <w:szCs w:val="32"/>
        </w:rPr>
      </w:pPr>
    </w:p>
    <w:p>
      <w:pPr>
        <w:ind w:firstLine="0" w:firstLineChars="0"/>
        <w:jc w:val="center"/>
        <w:rPr>
          <w:rFonts w:ascii="仿宋_GB2312" w:hAnsi="仿宋_GB2312" w:cs="仿宋_GB2312"/>
          <w:szCs w:val="32"/>
        </w:rPr>
      </w:pPr>
    </w:p>
    <w:p>
      <w:pPr>
        <w:ind w:firstLine="0" w:firstLineChars="0"/>
        <w:jc w:val="center"/>
        <w:rPr>
          <w:rFonts w:ascii="仿宋_GB2312" w:hAnsi="仿宋_GB2312" w:cs="仿宋_GB2312"/>
          <w:szCs w:val="32"/>
        </w:rPr>
      </w:pPr>
    </w:p>
    <w:p>
      <w:pPr>
        <w:ind w:firstLine="0" w:firstLineChars="0"/>
        <w:jc w:val="center"/>
        <w:rPr>
          <w:rFonts w:ascii="方正小标宋简体" w:hAnsi="方正小标宋简体" w:eastAsia="方正小标宋简体" w:cs="方正小标宋简体"/>
          <w:sz w:val="36"/>
          <w:szCs w:val="36"/>
        </w:rPr>
      </w:pPr>
      <w:r>
        <w:rPr>
          <w:rFonts w:hint="eastAsia" w:ascii="方正小标宋简体" w:hAnsi="方正小标宋简体" w:eastAsia="方正小标宋简体" w:cs="方正小标宋简体"/>
          <w:sz w:val="36"/>
          <w:szCs w:val="36"/>
        </w:rPr>
        <w:t>关于印发《2023 年全旗“民族政策宣传月”</w:t>
      </w:r>
    </w:p>
    <w:p>
      <w:pPr>
        <w:ind w:firstLine="0" w:firstLineChars="0"/>
        <w:jc w:val="center"/>
        <w:rPr>
          <w:rFonts w:ascii="方正小标宋简体" w:hAnsi="方正小标宋简体" w:eastAsia="方正小标宋简体" w:cs="方正小标宋简体"/>
          <w:sz w:val="36"/>
          <w:szCs w:val="36"/>
        </w:rPr>
      </w:pPr>
      <w:r>
        <w:rPr>
          <w:rFonts w:hint="eastAsia" w:ascii="方正小标宋简体" w:hAnsi="方正小标宋简体" w:eastAsia="方正小标宋简体" w:cs="方正小标宋简体"/>
          <w:sz w:val="36"/>
          <w:szCs w:val="36"/>
        </w:rPr>
        <w:t>“民族法治宣传周”工作方案》的通知</w:t>
      </w:r>
    </w:p>
    <w:p>
      <w:pPr>
        <w:ind w:firstLine="0" w:firstLineChars="0"/>
        <w:jc w:val="center"/>
        <w:rPr>
          <w:rFonts w:ascii="方正小标宋简体" w:hAnsi="方正小标宋简体" w:eastAsia="方正小标宋简体" w:cs="方正小标宋简体"/>
          <w:sz w:val="36"/>
          <w:szCs w:val="36"/>
        </w:rPr>
      </w:pPr>
    </w:p>
    <w:p>
      <w:pPr>
        <w:ind w:firstLine="640"/>
        <w:jc w:val="left"/>
        <w:rPr>
          <w:rFonts w:ascii="仿宋_GB2312" w:hAnsi="仿宋_GB2312" w:cs="仿宋_GB2312"/>
          <w:szCs w:val="32"/>
        </w:rPr>
      </w:pPr>
    </w:p>
    <w:p>
      <w:pPr>
        <w:ind w:firstLine="0" w:firstLineChars="0"/>
        <w:jc w:val="left"/>
        <w:rPr>
          <w:rFonts w:ascii="仿宋_GB2312" w:hAnsi="仿宋_GB2312" w:cs="仿宋_GB2312"/>
          <w:szCs w:val="32"/>
        </w:rPr>
      </w:pPr>
      <w:r>
        <w:rPr>
          <w:rFonts w:hint="eastAsia" w:ascii="仿宋_GB2312" w:hAnsi="仿宋_GB2312" w:cs="仿宋_GB2312"/>
          <w:szCs w:val="32"/>
        </w:rPr>
        <w:t>各苏木乡镇党委，六号农场党委，大沁他拉街道党工委，旗委各部、委、办、局，旗政府各委、办、局及各人民团体，驻奈中区市直各单位、各国有林场、水库:</w:t>
      </w:r>
    </w:p>
    <w:p>
      <w:pPr>
        <w:ind w:firstLine="640"/>
        <w:jc w:val="left"/>
        <w:rPr>
          <w:rFonts w:ascii="仿宋_GB2312" w:hAnsi="仿宋_GB2312" w:cs="仿宋_GB2312"/>
          <w:szCs w:val="32"/>
        </w:rPr>
      </w:pPr>
      <w:r>
        <w:rPr>
          <w:rFonts w:hint="eastAsia" w:ascii="仿宋_GB2312" w:hAnsi="仿宋_GB2312" w:cs="仿宋_GB2312"/>
          <w:szCs w:val="32"/>
        </w:rPr>
        <w:t>现将《2023年全旗“民族政策宣传月”“民族法治宣传周”工作方案》印发给你们，请结合工作实际，认真组织实施好此项工作。</w:t>
      </w:r>
    </w:p>
    <w:p>
      <w:pPr>
        <w:ind w:firstLine="0" w:firstLineChars="0"/>
        <w:jc w:val="left"/>
        <w:rPr>
          <w:rFonts w:ascii="方正小标宋简体" w:hAnsi="方正小标宋简体" w:eastAsia="方正小标宋简体" w:cs="方正小标宋简体"/>
          <w:sz w:val="36"/>
          <w:szCs w:val="36"/>
        </w:rPr>
      </w:pPr>
    </w:p>
    <w:p>
      <w:pPr>
        <w:ind w:firstLine="0" w:firstLineChars="0"/>
        <w:jc w:val="left"/>
        <w:rPr>
          <w:rFonts w:ascii="方正小标宋简体" w:hAnsi="方正小标宋简体" w:eastAsia="方正小标宋简体" w:cs="方正小标宋简体"/>
          <w:sz w:val="36"/>
          <w:szCs w:val="36"/>
        </w:rPr>
      </w:pPr>
    </w:p>
    <w:p>
      <w:pPr>
        <w:ind w:firstLine="0" w:firstLineChars="0"/>
        <w:jc w:val="left"/>
        <w:rPr>
          <w:rFonts w:ascii="仿宋_GB2312" w:hAnsi="仿宋_GB2312" w:cs="仿宋_GB2312"/>
          <w:szCs w:val="32"/>
        </w:rPr>
      </w:pPr>
      <w:r>
        <w:rPr>
          <w:rFonts w:hint="eastAsia" w:ascii="仿宋_GB2312" w:hAnsi="仿宋_GB2312" w:cs="仿宋_GB2312"/>
          <w:szCs w:val="32"/>
        </w:rPr>
        <w:t>（此页无正文）</w:t>
      </w:r>
    </w:p>
    <w:p>
      <w:pPr>
        <w:ind w:firstLine="0" w:firstLineChars="0"/>
        <w:jc w:val="center"/>
        <w:rPr>
          <w:rFonts w:ascii="仿宋_GB2312" w:hAnsi="仿宋_GB2312" w:cs="仿宋_GB2312"/>
          <w:szCs w:val="32"/>
        </w:rPr>
      </w:pPr>
    </w:p>
    <w:p>
      <w:pPr>
        <w:ind w:firstLine="0" w:firstLineChars="0"/>
        <w:jc w:val="center"/>
        <w:rPr>
          <w:rFonts w:ascii="仿宋_GB2312" w:hAnsi="仿宋_GB2312" w:cs="仿宋_GB2312"/>
          <w:szCs w:val="32"/>
        </w:rPr>
      </w:pPr>
    </w:p>
    <w:p>
      <w:pPr>
        <w:ind w:firstLine="0" w:firstLineChars="0"/>
        <w:jc w:val="center"/>
        <w:rPr>
          <w:rFonts w:ascii="仿宋_GB2312" w:hAnsi="仿宋_GB2312" w:cs="仿宋_GB2312"/>
          <w:szCs w:val="32"/>
        </w:rPr>
      </w:pPr>
    </w:p>
    <w:p>
      <w:pPr>
        <w:ind w:firstLine="0" w:firstLineChars="0"/>
        <w:rPr>
          <w:rFonts w:ascii="仿宋_GB2312" w:hAnsi="仿宋_GB2312" w:cs="仿宋_GB2312"/>
          <w:szCs w:val="32"/>
        </w:rPr>
      </w:pPr>
      <w:r>
        <w:rPr>
          <w:rFonts w:hint="eastAsia" w:ascii="仿宋_GB2312" w:hAnsi="仿宋_GB2312" w:cs="仿宋_GB2312"/>
          <w:szCs w:val="32"/>
        </w:rPr>
        <w:t>中共奈曼旗委统战部             中共奈曼旗委宣传部</w:t>
      </w:r>
    </w:p>
    <w:p>
      <w:pPr>
        <w:ind w:firstLine="0" w:firstLineChars="0"/>
        <w:jc w:val="center"/>
        <w:rPr>
          <w:rFonts w:ascii="仿宋_GB2312" w:hAnsi="仿宋_GB2312" w:cs="仿宋_GB2312"/>
          <w:szCs w:val="32"/>
        </w:rPr>
      </w:pPr>
    </w:p>
    <w:p>
      <w:pPr>
        <w:ind w:firstLine="0" w:firstLineChars="0"/>
        <w:jc w:val="center"/>
        <w:rPr>
          <w:rFonts w:ascii="仿宋_GB2312" w:hAnsi="仿宋_GB2312" w:cs="仿宋_GB2312"/>
          <w:szCs w:val="32"/>
        </w:rPr>
      </w:pPr>
    </w:p>
    <w:p>
      <w:pPr>
        <w:ind w:firstLine="0" w:firstLineChars="0"/>
        <w:jc w:val="center"/>
        <w:rPr>
          <w:rFonts w:ascii="仿宋_GB2312" w:hAnsi="仿宋_GB2312" w:cs="仿宋_GB2312"/>
          <w:szCs w:val="32"/>
        </w:rPr>
      </w:pPr>
    </w:p>
    <w:p>
      <w:pPr>
        <w:ind w:firstLine="0" w:firstLineChars="0"/>
        <w:jc w:val="center"/>
        <w:rPr>
          <w:rFonts w:ascii="仿宋_GB2312" w:hAnsi="仿宋_GB2312" w:cs="仿宋_GB2312"/>
          <w:szCs w:val="32"/>
        </w:rPr>
      </w:pPr>
    </w:p>
    <w:p>
      <w:pPr>
        <w:ind w:firstLine="0" w:firstLineChars="0"/>
        <w:jc w:val="center"/>
        <w:rPr>
          <w:rFonts w:ascii="仿宋_GB2312" w:hAnsi="仿宋_GB2312" w:cs="仿宋_GB2312"/>
          <w:szCs w:val="32"/>
        </w:rPr>
      </w:pPr>
    </w:p>
    <w:p>
      <w:pPr>
        <w:ind w:firstLine="0" w:firstLineChars="0"/>
        <w:jc w:val="center"/>
        <w:rPr>
          <w:rFonts w:ascii="仿宋_GB2312" w:hAnsi="仿宋_GB2312" w:cs="仿宋_GB2312"/>
          <w:szCs w:val="32"/>
        </w:rPr>
      </w:pPr>
    </w:p>
    <w:p>
      <w:pPr>
        <w:ind w:firstLine="0" w:firstLineChars="0"/>
        <w:jc w:val="center"/>
        <w:rPr>
          <w:rFonts w:ascii="仿宋_GB2312" w:hAnsi="仿宋_GB2312" w:cs="仿宋_GB2312"/>
          <w:szCs w:val="32"/>
        </w:rPr>
      </w:pPr>
    </w:p>
    <w:p>
      <w:pPr>
        <w:ind w:firstLine="0" w:firstLineChars="0"/>
        <w:rPr>
          <w:rFonts w:ascii="仿宋_GB2312" w:hAnsi="仿宋_GB2312" w:cs="仿宋_GB2312"/>
          <w:szCs w:val="32"/>
        </w:rPr>
      </w:pPr>
      <w:r>
        <w:rPr>
          <w:rFonts w:hint="eastAsia" w:ascii="仿宋_GB2312" w:hAnsi="仿宋_GB2312" w:cs="仿宋_GB2312"/>
          <w:szCs w:val="32"/>
        </w:rPr>
        <w:t>奈曼旗民族事务委员会              奈曼旗司法局</w:t>
      </w:r>
    </w:p>
    <w:p>
      <w:pPr>
        <w:ind w:firstLine="0" w:firstLineChars="0"/>
        <w:jc w:val="center"/>
        <w:rPr>
          <w:rFonts w:ascii="仿宋_GB2312" w:hAnsi="仿宋_GB2312" w:cs="仿宋_GB2312"/>
          <w:szCs w:val="32"/>
        </w:rPr>
      </w:pPr>
      <w:r>
        <w:rPr>
          <w:rFonts w:hint="eastAsia" w:ascii="仿宋_GB2312" w:hAnsi="仿宋_GB2312" w:cs="仿宋_GB2312"/>
          <w:szCs w:val="32"/>
        </w:rPr>
        <w:t xml:space="preserve">                             2023年4月24日</w:t>
      </w:r>
    </w:p>
    <w:p>
      <w:pPr>
        <w:ind w:firstLine="0" w:firstLineChars="0"/>
        <w:jc w:val="center"/>
        <w:rPr>
          <w:rFonts w:ascii="方正小标宋简体" w:hAnsi="方正小标宋简体" w:eastAsia="方正小标宋简体" w:cs="方正小标宋简体"/>
          <w:sz w:val="36"/>
          <w:szCs w:val="36"/>
        </w:rPr>
      </w:pPr>
    </w:p>
    <w:p>
      <w:pPr>
        <w:ind w:firstLine="0" w:firstLineChars="0"/>
        <w:jc w:val="center"/>
        <w:rPr>
          <w:rFonts w:ascii="方正小标宋简体" w:hAnsi="方正小标宋简体" w:eastAsia="方正小标宋简体" w:cs="方正小标宋简体"/>
          <w:sz w:val="36"/>
          <w:szCs w:val="36"/>
        </w:rPr>
      </w:pPr>
    </w:p>
    <w:p>
      <w:pPr>
        <w:ind w:firstLine="0" w:firstLineChars="0"/>
        <w:jc w:val="center"/>
        <w:rPr>
          <w:rFonts w:ascii="方正小标宋简体" w:hAnsi="方正小标宋简体" w:eastAsia="方正小标宋简体" w:cs="方正小标宋简体"/>
          <w:sz w:val="36"/>
          <w:szCs w:val="36"/>
        </w:rPr>
      </w:pPr>
    </w:p>
    <w:p>
      <w:pPr>
        <w:ind w:firstLine="0" w:firstLineChars="0"/>
        <w:jc w:val="center"/>
        <w:rPr>
          <w:rFonts w:ascii="方正小标宋简体" w:hAnsi="方正小标宋简体" w:eastAsia="方正小标宋简体" w:cs="方正小标宋简体"/>
          <w:sz w:val="36"/>
          <w:szCs w:val="36"/>
        </w:rPr>
      </w:pPr>
    </w:p>
    <w:p>
      <w:pPr>
        <w:ind w:firstLine="0" w:firstLineChars="0"/>
        <w:jc w:val="center"/>
        <w:rPr>
          <w:rFonts w:ascii="方正小标宋简体" w:hAnsi="方正小标宋简体" w:eastAsia="方正小标宋简体" w:cs="方正小标宋简体"/>
          <w:sz w:val="36"/>
          <w:szCs w:val="36"/>
        </w:rPr>
      </w:pPr>
    </w:p>
    <w:p>
      <w:pPr>
        <w:ind w:firstLine="0" w:firstLineChars="0"/>
        <w:jc w:val="center"/>
        <w:rPr>
          <w:rFonts w:ascii="方正小标宋简体" w:hAnsi="方正小标宋简体" w:eastAsia="方正小标宋简体" w:cs="方正小标宋简体"/>
          <w:sz w:val="36"/>
          <w:szCs w:val="36"/>
        </w:rPr>
      </w:pPr>
    </w:p>
    <w:p>
      <w:pPr>
        <w:ind w:firstLine="0" w:firstLineChars="0"/>
        <w:jc w:val="center"/>
        <w:rPr>
          <w:rFonts w:ascii="方正小标宋简体" w:hAnsi="方正小标宋简体" w:eastAsia="方正小标宋简体" w:cs="方正小标宋简体"/>
          <w:sz w:val="36"/>
          <w:szCs w:val="36"/>
        </w:rPr>
      </w:pPr>
    </w:p>
    <w:p>
      <w:pPr>
        <w:ind w:firstLine="0" w:firstLineChars="0"/>
        <w:jc w:val="center"/>
        <w:rPr>
          <w:rFonts w:ascii="方正小标宋简体" w:hAnsi="方正小标宋简体" w:eastAsia="方正小标宋简体" w:cs="方正小标宋简体"/>
          <w:sz w:val="36"/>
          <w:szCs w:val="36"/>
        </w:rPr>
      </w:pPr>
    </w:p>
    <w:p>
      <w:pPr>
        <w:ind w:firstLine="0" w:firstLineChars="0"/>
        <w:jc w:val="center"/>
        <w:rPr>
          <w:rFonts w:ascii="方正小标宋简体" w:hAnsi="方正小标宋简体" w:eastAsia="方正小标宋简体" w:cs="方正小标宋简体"/>
          <w:sz w:val="36"/>
          <w:szCs w:val="36"/>
        </w:rPr>
      </w:pPr>
    </w:p>
    <w:p>
      <w:pPr>
        <w:ind w:firstLine="0" w:firstLineChars="0"/>
        <w:jc w:val="center"/>
        <w:rPr>
          <w:rFonts w:ascii="方正小标宋简体" w:hAnsi="方正小标宋简体" w:eastAsia="方正小标宋简体" w:cs="方正小标宋简体"/>
          <w:sz w:val="36"/>
          <w:szCs w:val="36"/>
        </w:rPr>
      </w:pPr>
    </w:p>
    <w:p>
      <w:pPr>
        <w:ind w:firstLine="0" w:firstLineChars="0"/>
        <w:jc w:val="center"/>
        <w:rPr>
          <w:rFonts w:hint="eastAsia" w:ascii="方正小标宋简体" w:hAnsi="方正小标宋简体" w:eastAsia="方正小标宋简体" w:cs="方正小标宋简体"/>
          <w:sz w:val="36"/>
          <w:szCs w:val="36"/>
        </w:rPr>
        <w:sectPr>
          <w:headerReference r:id="rId6" w:type="first"/>
          <w:footerReference r:id="rId9" w:type="first"/>
          <w:footerReference r:id="rId7" w:type="default"/>
          <w:headerReference r:id="rId5" w:type="even"/>
          <w:footerReference r:id="rId8" w:type="even"/>
          <w:pgSz w:w="11906" w:h="16838"/>
          <w:pgMar w:top="1440" w:right="1800" w:bottom="1440" w:left="1800" w:header="851" w:footer="992" w:gutter="0"/>
          <w:pgNumType w:fmt="numberInDash"/>
          <w:cols w:space="425" w:num="1"/>
          <w:docGrid w:type="lines" w:linePitch="312" w:charSpace="0"/>
        </w:sectPr>
      </w:pPr>
    </w:p>
    <w:p>
      <w:pPr>
        <w:ind w:firstLine="0" w:firstLineChars="0"/>
        <w:jc w:val="center"/>
        <w:rPr>
          <w:rFonts w:ascii="方正小标宋简体" w:hAnsi="方正小标宋简体" w:eastAsia="方正小标宋简体" w:cs="方正小标宋简体"/>
          <w:sz w:val="36"/>
          <w:szCs w:val="36"/>
        </w:rPr>
      </w:pPr>
      <w:r>
        <w:rPr>
          <w:rFonts w:hint="eastAsia" w:ascii="方正小标宋简体" w:hAnsi="方正小标宋简体" w:eastAsia="方正小标宋简体" w:cs="方正小标宋简体"/>
          <w:sz w:val="36"/>
          <w:szCs w:val="36"/>
        </w:rPr>
        <w:t>2023 年全旗“民族政策宣传月”“民族法治宣传周”工作方案</w:t>
      </w:r>
    </w:p>
    <w:p>
      <w:pPr>
        <w:ind w:firstLine="640"/>
      </w:pPr>
      <w:r>
        <w:rPr>
          <w:rFonts w:hint="eastAsia"/>
        </w:rPr>
        <w:t>为深入学习宣传贯彻党的二十大精神，深入贯彻落实中央、自治区和市委民族工作会议精神以及旗委民族工作相关要求，加强党的民族理论政策和民族法律法规的宣传教育，做深做细做实全旗“民族政策宣传月”“民族法治宣传周”工作，根据《内蒙古自治区促进民族团结进步条例》规定，制定本方案。</w:t>
      </w:r>
    </w:p>
    <w:p>
      <w:pPr>
        <w:ind w:firstLine="640"/>
        <w:rPr>
          <w:rFonts w:ascii="黑体" w:hAnsi="黑体" w:eastAsia="黑体" w:cs="黑体"/>
        </w:rPr>
      </w:pPr>
      <w:r>
        <w:rPr>
          <w:rFonts w:hint="eastAsia" w:ascii="黑体" w:hAnsi="黑体" w:eastAsia="黑体" w:cs="黑体"/>
        </w:rPr>
        <w:t>一、指导思想</w:t>
      </w:r>
    </w:p>
    <w:p>
      <w:pPr>
        <w:ind w:firstLine="640"/>
      </w:pPr>
      <w:r>
        <w:rPr>
          <w:rFonts w:hint="eastAsia"/>
        </w:rPr>
        <w:t>以习近平新时代中国特色社会主义思想为指导，全面学习、全面把握、全面落实党的二十大精神，完整、准确、全面把握和贯彻习近平总书记关于加强和改进民族工作的重要思想，深入贯彻落实习近平总书记对内蒙古重要指示精神，深刻领悟“两个确立”的决定性意义，增强“四个意识”、坚定“四个自信”、做到“两个维护”，更加有形有感有效铸牢中华民族共同体意识，教育引导各族干部群众更加由衷地感党恩、听党话、跟党走，为全方位建设“模范自治区”贡献奈曼力量。</w:t>
      </w:r>
    </w:p>
    <w:p>
      <w:pPr>
        <w:ind w:firstLine="640"/>
        <w:rPr>
          <w:rFonts w:ascii="黑体" w:hAnsi="黑体" w:eastAsia="黑体" w:cs="黑体"/>
        </w:rPr>
      </w:pPr>
      <w:r>
        <w:rPr>
          <w:rFonts w:hint="eastAsia" w:ascii="黑体" w:hAnsi="黑体" w:eastAsia="黑体" w:cs="黑体"/>
        </w:rPr>
        <w:t>二、活动主题</w:t>
      </w:r>
    </w:p>
    <w:p>
      <w:pPr>
        <w:ind w:firstLine="640"/>
      </w:pPr>
      <w:r>
        <w:rPr>
          <w:rFonts w:hint="eastAsia"/>
        </w:rPr>
        <w:t>铸牢中华民族共同体意识，全方位建设“模范自治区”。</w:t>
      </w:r>
    </w:p>
    <w:p>
      <w:pPr>
        <w:ind w:firstLine="640"/>
        <w:rPr>
          <w:rFonts w:ascii="黑体" w:hAnsi="黑体" w:eastAsia="黑体" w:cs="黑体"/>
        </w:rPr>
      </w:pPr>
      <w:r>
        <w:rPr>
          <w:rFonts w:hint="eastAsia" w:ascii="黑体" w:hAnsi="黑体" w:eastAsia="黑体" w:cs="黑体"/>
        </w:rPr>
        <w:t>三、活动时间</w:t>
      </w:r>
    </w:p>
    <w:p>
      <w:pPr>
        <w:ind w:firstLine="640"/>
      </w:pPr>
      <w:r>
        <w:rPr>
          <w:rFonts w:hint="eastAsia"/>
        </w:rPr>
        <w:t>1.民族政策宣传月：5月1日至5月31日；</w:t>
      </w:r>
    </w:p>
    <w:p>
      <w:pPr>
        <w:ind w:firstLine="640"/>
      </w:pPr>
      <w:r>
        <w:rPr>
          <w:rFonts w:hint="eastAsia"/>
        </w:rPr>
        <w:t>2.民族法治宣传周：5月 25 日至5月 31 日。</w:t>
      </w:r>
    </w:p>
    <w:p>
      <w:pPr>
        <w:ind w:firstLine="640"/>
        <w:rPr>
          <w:rFonts w:ascii="黑体" w:hAnsi="黑体" w:eastAsia="黑体" w:cs="黑体"/>
        </w:rPr>
      </w:pPr>
      <w:r>
        <w:rPr>
          <w:rFonts w:hint="eastAsia" w:ascii="黑体" w:hAnsi="黑体" w:eastAsia="黑体" w:cs="黑体"/>
        </w:rPr>
        <w:t>四、宣传内容</w:t>
      </w:r>
    </w:p>
    <w:p>
      <w:pPr>
        <w:ind w:firstLine="640"/>
      </w:pPr>
      <w:r>
        <w:rPr>
          <w:rFonts w:hint="eastAsia"/>
        </w:rPr>
        <w:t>习近平新时代中国特色社会主义思想；党的二十大精神；习近平法治思想；习近平总书记关于加强和改进民族工作的重要思想；习近平总书记对内蒙古重要指示精神；中央、自治区和市委民族工作会议精神和旗委民族工作相关要求；《中华人民共和国宪法》《中华人民共和国民法典》《中华人民共和国国家通用语言文字法》《中国共产党统一战线工作条例》《内蒙古自治区促进民族团结进步条例》《内蒙古自治区实施&lt;中华人民共和国国家通用语言文字法&gt;办法》等法律法规。</w:t>
      </w:r>
    </w:p>
    <w:p>
      <w:pPr>
        <w:numPr>
          <w:ilvl w:val="0"/>
          <w:numId w:val="1"/>
        </w:numPr>
        <w:ind w:firstLine="640"/>
        <w:rPr>
          <w:rFonts w:ascii="黑体" w:hAnsi="黑体" w:eastAsia="黑体" w:cs="黑体"/>
        </w:rPr>
      </w:pPr>
      <w:r>
        <w:rPr>
          <w:rFonts w:hint="eastAsia" w:ascii="黑体" w:hAnsi="黑体" w:eastAsia="黑体" w:cs="黑体"/>
        </w:rPr>
        <w:t>工作安排</w:t>
      </w:r>
    </w:p>
    <w:p>
      <w:pPr>
        <w:rPr>
          <w:rFonts w:ascii="楷体_GB2312" w:hAnsi="楷体_GB2312" w:eastAsia="楷体_GB2312" w:cs="楷体_GB2312"/>
          <w:b/>
          <w:bCs/>
        </w:rPr>
      </w:pPr>
      <w:r>
        <w:rPr>
          <w:rFonts w:hint="eastAsia" w:ascii="楷体_GB2312" w:hAnsi="楷体_GB2312" w:eastAsia="楷体_GB2312" w:cs="楷体_GB2312"/>
          <w:b/>
          <w:bCs/>
        </w:rPr>
        <w:t>(一)主题活动</w:t>
      </w:r>
    </w:p>
    <w:p>
      <w:pPr>
        <w:ind w:firstLine="640"/>
      </w:pPr>
      <w:r>
        <w:rPr>
          <w:rFonts w:hint="eastAsia"/>
        </w:rPr>
        <w:t>围绕全区“民族政策宣传月”“民族法治宣传周”工作要求，组织开展党的民族理论政策和民族法律法规宣传活动进机关、进企业、进社区、进苏木乡镇、进学校、进</w:t>
      </w:r>
      <w:r>
        <w:rPr>
          <w:rFonts w:hint="eastAsia"/>
          <w:lang w:val="en-US" w:eastAsia="zh-CN"/>
        </w:rPr>
        <w:t>警营</w:t>
      </w:r>
      <w:r>
        <w:rPr>
          <w:rFonts w:hint="eastAsia"/>
        </w:rPr>
        <w:t>连队、进宗教活动场所、进网络、进各领域。</w:t>
      </w:r>
    </w:p>
    <w:p>
      <w:r>
        <w:rPr>
          <w:rFonts w:hint="eastAsia"/>
          <w:b/>
          <w:bCs/>
        </w:rPr>
        <w:t>1.进机关</w:t>
      </w:r>
    </w:p>
    <w:p>
      <w:pPr>
        <w:ind w:firstLine="640"/>
      </w:pPr>
      <w:r>
        <w:rPr>
          <w:rFonts w:hint="eastAsia"/>
        </w:rPr>
        <w:t>各部门单位在门户网站和微信客户端开设党的民族理论政策和民族法律法规学习宣传专栏，充分利用新技术新手段，创新形式开展宣传教育。旗直各单位结合包联社区和乡村振兴驻村帮扶工作，面向基层群众开展线下活动，做到宣传内容为群众所需、宣传方式为群众所喜、宣传成效为群众所赞。</w:t>
      </w:r>
    </w:p>
    <w:p>
      <w:pPr>
        <w:ind w:firstLine="640"/>
      </w:pPr>
      <w:r>
        <w:rPr>
          <w:rFonts w:hint="eastAsia"/>
        </w:rPr>
        <w:t>牵头单位:旗直</w:t>
      </w:r>
      <w:r>
        <w:rPr>
          <w:rFonts w:hint="eastAsia"/>
          <w:lang w:val="en-US" w:eastAsia="zh-CN"/>
        </w:rPr>
        <w:t>各</w:t>
      </w:r>
      <w:r>
        <w:rPr>
          <w:rFonts w:hint="eastAsia"/>
        </w:rPr>
        <w:t>部门单位</w:t>
      </w:r>
    </w:p>
    <w:p>
      <w:pPr>
        <w:rPr>
          <w:b/>
          <w:bCs/>
        </w:rPr>
      </w:pPr>
      <w:r>
        <w:rPr>
          <w:rFonts w:hint="eastAsia"/>
          <w:b/>
          <w:bCs/>
        </w:rPr>
        <w:t>2.进企业</w:t>
      </w:r>
    </w:p>
    <w:p>
      <w:pPr>
        <w:ind w:firstLine="640"/>
      </w:pPr>
      <w:r>
        <w:rPr>
          <w:rFonts w:hint="eastAsia"/>
        </w:rPr>
        <w:t>结合企业法治文化建设，面向国有企业、民营企业经营管理人员和职工，突出宣传党的民族理论政策和民族法律法规，依法保障各族职工的合法权益。</w:t>
      </w:r>
    </w:p>
    <w:p>
      <w:pPr>
        <w:ind w:firstLine="640"/>
        <w:rPr>
          <w:rFonts w:hint="default" w:eastAsia="仿宋_GB2312"/>
          <w:lang w:val="en-US" w:eastAsia="zh-CN"/>
        </w:rPr>
      </w:pPr>
      <w:r>
        <w:rPr>
          <w:rFonts w:hint="eastAsia"/>
        </w:rPr>
        <w:t>牵头单位:旗财政局（国资委）、工商联</w:t>
      </w:r>
      <w:r>
        <w:rPr>
          <w:rFonts w:hint="eastAsia"/>
          <w:lang w:eastAsia="zh-CN"/>
        </w:rPr>
        <w:t>、</w:t>
      </w:r>
      <w:r>
        <w:rPr>
          <w:rFonts w:hint="eastAsia"/>
          <w:lang w:val="en-US" w:eastAsia="zh-CN"/>
        </w:rPr>
        <w:t>工信局、工业园区管委会、农电局</w:t>
      </w:r>
    </w:p>
    <w:p>
      <w:r>
        <w:rPr>
          <w:rFonts w:hint="eastAsia"/>
          <w:b/>
          <w:bCs/>
        </w:rPr>
        <w:t>3.进社区</w:t>
      </w:r>
    </w:p>
    <w:p>
      <w:pPr>
        <w:ind w:firstLine="640"/>
      </w:pPr>
      <w:r>
        <w:rPr>
          <w:rFonts w:hint="eastAsia"/>
        </w:rPr>
        <w:t>在城乡社区的中心位置、公共场所设立宣传教育专栏、宣传标语等，通过组织各族居民参加文艺表演、文体活动、主题宣讲等形式，深入开展党的民族理论政策和民族法律法规宣传教育，引导社区各族群众树立正确的国家观、历史观、民族观、文化观、宗教观，夯实中华民族共同体的思想基础。</w:t>
      </w:r>
    </w:p>
    <w:p>
      <w:pPr>
        <w:ind w:firstLine="640"/>
        <w:rPr>
          <w:rFonts w:hint="default" w:eastAsia="仿宋_GB2312"/>
          <w:lang w:val="en-US" w:eastAsia="zh-CN"/>
        </w:rPr>
      </w:pPr>
      <w:r>
        <w:rPr>
          <w:rFonts w:hint="eastAsia"/>
        </w:rPr>
        <w:t>牵头单位:大沁他拉街道、司法局</w:t>
      </w:r>
    </w:p>
    <w:p>
      <w:pPr>
        <w:rPr>
          <w:b/>
          <w:bCs/>
        </w:rPr>
      </w:pPr>
      <w:r>
        <w:rPr>
          <w:rFonts w:hint="eastAsia"/>
          <w:b/>
          <w:bCs/>
        </w:rPr>
        <w:t>4.进苏木乡镇</w:t>
      </w:r>
    </w:p>
    <w:p>
      <w:pPr>
        <w:ind w:firstLine="640"/>
      </w:pPr>
      <w:r>
        <w:rPr>
          <w:rFonts w:hint="eastAsia"/>
        </w:rPr>
        <w:t>结合推进“乡村振兴”战略，针对群众需求，突出宣传党的民族理论政策和民族法律法规，落实党的民族政策，促进农牧业高质高效、乡村宜居宜业、农牧民富裕富足。</w:t>
      </w:r>
    </w:p>
    <w:p>
      <w:pPr>
        <w:ind w:firstLine="640"/>
      </w:pPr>
      <w:r>
        <w:rPr>
          <w:rFonts w:hint="eastAsia"/>
        </w:rPr>
        <w:t>牵头单位:各苏木乡镇场、旗农</w:t>
      </w:r>
      <w:r>
        <w:rPr>
          <w:rFonts w:hint="eastAsia"/>
          <w:lang w:val="en-US" w:eastAsia="zh-CN"/>
        </w:rPr>
        <w:t>科</w:t>
      </w:r>
      <w:r>
        <w:rPr>
          <w:rFonts w:hint="eastAsia"/>
        </w:rPr>
        <w:t>局、乡村振兴局</w:t>
      </w:r>
    </w:p>
    <w:p>
      <w:pPr>
        <w:rPr>
          <w:b/>
          <w:bCs/>
        </w:rPr>
      </w:pPr>
      <w:r>
        <w:rPr>
          <w:rFonts w:hint="eastAsia"/>
          <w:b/>
          <w:bCs/>
        </w:rPr>
        <w:t>5.进学校</w:t>
      </w:r>
    </w:p>
    <w:p>
      <w:pPr>
        <w:ind w:firstLine="640"/>
      </w:pPr>
      <w:r>
        <w:rPr>
          <w:rFonts w:hint="eastAsia"/>
        </w:rPr>
        <w:t>结合“民族团结进步+”双融双促工作要求，开展丰富多彩的校园文化宣传活动，深入宣传贯彻 《内蒙古自治区实施&lt;中华人民共和国国家通用语言文字法〉办法》，加强对各族师生党的民族理论政策和民族法律法规的宣传教育，让中华民族共同体意识的种子深深根植于青少年心中。</w:t>
      </w:r>
    </w:p>
    <w:p>
      <w:pPr>
        <w:ind w:firstLine="640"/>
      </w:pPr>
      <w:r>
        <w:rPr>
          <w:rFonts w:hint="eastAsia"/>
        </w:rPr>
        <w:t>牵头单位:旗教体局、旗委党校</w:t>
      </w:r>
    </w:p>
    <w:p>
      <w:pPr>
        <w:rPr>
          <w:b/>
          <w:bCs/>
        </w:rPr>
      </w:pPr>
      <w:r>
        <w:rPr>
          <w:rFonts w:hint="eastAsia"/>
          <w:b/>
          <w:bCs/>
        </w:rPr>
        <w:t>6.进</w:t>
      </w:r>
      <w:r>
        <w:rPr>
          <w:rFonts w:hint="eastAsia"/>
          <w:b/>
          <w:bCs/>
          <w:lang w:val="en-US" w:eastAsia="zh-CN"/>
        </w:rPr>
        <w:t>警营</w:t>
      </w:r>
      <w:r>
        <w:rPr>
          <w:rFonts w:hint="eastAsia"/>
          <w:b/>
          <w:bCs/>
        </w:rPr>
        <w:t>连队</w:t>
      </w:r>
    </w:p>
    <w:p>
      <w:pPr>
        <w:ind w:firstLine="640"/>
      </w:pPr>
      <w:r>
        <w:rPr>
          <w:rFonts w:hint="eastAsia"/>
        </w:rPr>
        <w:t>深入开展民族团结进步教育、中华民族共同体意识教育，不断增强各族</w:t>
      </w:r>
      <w:r>
        <w:rPr>
          <w:rFonts w:hint="eastAsia"/>
          <w:lang w:val="en-US" w:eastAsia="zh-CN"/>
        </w:rPr>
        <w:t>干警</w:t>
      </w:r>
      <w:r>
        <w:rPr>
          <w:rFonts w:hint="eastAsia"/>
        </w:rPr>
        <w:t>指战员贯彻党的民族理论政策的自觉性和坚定性，自觉做维护祖国统一和民族团结的模范。</w:t>
      </w:r>
    </w:p>
    <w:p>
      <w:pPr>
        <w:ind w:firstLine="640"/>
        <w:rPr>
          <w:highlight w:val="yellow"/>
        </w:rPr>
      </w:pPr>
      <w:r>
        <w:rPr>
          <w:rFonts w:hint="eastAsia"/>
        </w:rPr>
        <w:t>牵头单位:各警营连队</w:t>
      </w:r>
    </w:p>
    <w:p>
      <w:pPr>
        <w:rPr>
          <w:b/>
          <w:bCs/>
        </w:rPr>
      </w:pPr>
      <w:r>
        <w:rPr>
          <w:rFonts w:hint="eastAsia"/>
          <w:b/>
          <w:bCs/>
        </w:rPr>
        <w:t>7.进宗教活动场所</w:t>
      </w:r>
    </w:p>
    <w:p>
      <w:pPr>
        <w:ind w:firstLine="640"/>
      </w:pPr>
      <w:r>
        <w:rPr>
          <w:rFonts w:hint="eastAsia"/>
        </w:rPr>
        <w:t>在宗教界开展爱国主义教育、民族团结进步教育、中华民族共同体意识教育，深入宣传贯彻《中国共产党统一战线工作条例》《内蒙古自治区宗教事务条例》，积极引导广大教职人员和信教群众遵守党的民族理论政策和民族法律法规，自觉维护民族团结和社会稳定。</w:t>
      </w:r>
    </w:p>
    <w:p>
      <w:pPr>
        <w:ind w:firstLine="640"/>
      </w:pPr>
      <w:r>
        <w:rPr>
          <w:rFonts w:hint="eastAsia"/>
        </w:rPr>
        <w:t>牵头单位:旗委统战部（旗宗教局）</w:t>
      </w:r>
    </w:p>
    <w:p>
      <w:pPr>
        <w:rPr>
          <w:b/>
          <w:bCs/>
        </w:rPr>
      </w:pPr>
      <w:r>
        <w:rPr>
          <w:rFonts w:hint="eastAsia"/>
          <w:b/>
          <w:bCs/>
        </w:rPr>
        <w:t>8.进网络</w:t>
      </w:r>
    </w:p>
    <w:p>
      <w:pPr>
        <w:ind w:firstLine="640"/>
      </w:pPr>
      <w:r>
        <w:rPr>
          <w:rFonts w:hint="eastAsia"/>
        </w:rPr>
        <w:t>充分运用网络新媒体开展党的民族理论政策和民族法律法规宣传教育，推进“互联网+民族团结”行动，更好凝聚群众引导群众，为铸牢中华民族共同体意识营造舆论氛围。</w:t>
      </w:r>
    </w:p>
    <w:p>
      <w:pPr>
        <w:ind w:firstLine="640"/>
      </w:pPr>
      <w:r>
        <w:rPr>
          <w:rFonts w:hint="eastAsia"/>
        </w:rPr>
        <w:t>牵头单位:旗委宣传部</w:t>
      </w:r>
    </w:p>
    <w:p>
      <w:pPr>
        <w:rPr>
          <w:b/>
          <w:bCs/>
        </w:rPr>
      </w:pPr>
      <w:r>
        <w:rPr>
          <w:rFonts w:hint="eastAsia"/>
          <w:b/>
          <w:bCs/>
        </w:rPr>
        <w:t xml:space="preserve">9.进各领域 </w:t>
      </w:r>
    </w:p>
    <w:p>
      <w:pPr>
        <w:ind w:firstLine="640"/>
      </w:pPr>
      <w:r>
        <w:rPr>
          <w:rFonts w:hint="eastAsia"/>
        </w:rPr>
        <w:t>民族工作涉及方方面面，方方面面都有民族工作，各地区各部门单位要结合各自职能，创新方式和载体，以铸牢中华民族共同体意识为主线，深入宣传贯彻党的民族理论政策和民族法律法规，引导各族群众牢固树立休戚与共、荣辱与共、生死与共、命运与共的共同体理念，不断巩固中华民族共同体的思想基础。</w:t>
      </w:r>
    </w:p>
    <w:p>
      <w:pPr>
        <w:ind w:firstLine="640"/>
      </w:pPr>
      <w:r>
        <w:rPr>
          <w:rFonts w:hint="eastAsia"/>
        </w:rPr>
        <w:t>参加单位:各地区各部门单位</w:t>
      </w:r>
    </w:p>
    <w:p>
      <w:pPr>
        <w:rPr>
          <w:rFonts w:ascii="楷体_GB2312" w:hAnsi="楷体_GB2312" w:eastAsia="楷体_GB2312" w:cs="楷体_GB2312"/>
          <w:b/>
          <w:bCs/>
        </w:rPr>
      </w:pPr>
      <w:r>
        <w:rPr>
          <w:rFonts w:hint="eastAsia" w:ascii="楷体_GB2312" w:hAnsi="楷体_GB2312" w:eastAsia="楷体_GB2312" w:cs="楷体_GB2312"/>
          <w:b/>
          <w:bCs/>
        </w:rPr>
        <w:t>(二)主场活动</w:t>
      </w:r>
    </w:p>
    <w:p>
      <w:pPr>
        <w:ind w:firstLine="640"/>
        <w:rPr>
          <w:b/>
          <w:bCs/>
        </w:rPr>
      </w:pPr>
      <w:r>
        <w:rPr>
          <w:rFonts w:hint="eastAsia"/>
          <w:b/>
          <w:bCs/>
        </w:rPr>
        <w:t>1.启动仪式</w:t>
      </w:r>
    </w:p>
    <w:p>
      <w:pPr>
        <w:ind w:firstLine="640"/>
      </w:pPr>
      <w:r>
        <w:rPr>
          <w:rFonts w:hint="eastAsia"/>
        </w:rPr>
        <w:t>5月初，举办“民族政策宣传月”“民族法治宣传周”启动仪式和主题文艺汇演。</w:t>
      </w:r>
    </w:p>
    <w:p>
      <w:pPr>
        <w:ind w:firstLine="640"/>
        <w:rPr>
          <w:rFonts w:hint="default" w:eastAsia="仿宋_GB2312"/>
          <w:lang w:val="en-US" w:eastAsia="zh-CN"/>
        </w:rPr>
      </w:pPr>
      <w:r>
        <w:rPr>
          <w:rFonts w:hint="eastAsia"/>
        </w:rPr>
        <w:t>主办单位:旗委统战部、宣传部</w:t>
      </w:r>
      <w:r>
        <w:rPr>
          <w:rFonts w:hint="eastAsia"/>
          <w:lang w:eastAsia="zh-CN"/>
        </w:rPr>
        <w:t>、</w:t>
      </w:r>
      <w:r>
        <w:rPr>
          <w:rFonts w:hint="eastAsia"/>
        </w:rPr>
        <w:t>旗民委</w:t>
      </w:r>
      <w:r>
        <w:rPr>
          <w:rFonts w:hint="eastAsia"/>
          <w:lang w:eastAsia="zh-CN"/>
        </w:rPr>
        <w:t>、</w:t>
      </w:r>
      <w:r>
        <w:rPr>
          <w:rFonts w:hint="eastAsia"/>
          <w:lang w:val="en-US" w:eastAsia="zh-CN"/>
        </w:rPr>
        <w:t>旗司法局</w:t>
      </w:r>
    </w:p>
    <w:p>
      <w:pPr>
        <w:ind w:firstLine="640"/>
        <w:rPr>
          <w:b/>
          <w:bCs/>
        </w:rPr>
      </w:pPr>
      <w:r>
        <w:rPr>
          <w:rFonts w:hint="eastAsia"/>
          <w:b/>
          <w:bCs/>
        </w:rPr>
        <w:t>2.网络竞答</w:t>
      </w:r>
    </w:p>
    <w:p>
      <w:pPr>
        <w:ind w:firstLine="640"/>
      </w:pPr>
      <w:r>
        <w:rPr>
          <w:rFonts w:hint="eastAsia"/>
        </w:rPr>
        <w:t>组织开展“党的民族理论政策和民族法律法规知识网络有奖竞答活动”，各地区各部门单位要组织干部群众积极参与，扩大活动的覆盖面，提高社会影响力。</w:t>
      </w:r>
    </w:p>
    <w:p>
      <w:pPr>
        <w:ind w:firstLine="640"/>
      </w:pPr>
      <w:r>
        <w:rPr>
          <w:rFonts w:hint="eastAsia"/>
        </w:rPr>
        <w:t>主办单位:旗融媒体</w:t>
      </w:r>
      <w:r>
        <w:rPr>
          <w:rFonts w:hint="eastAsia"/>
          <w:lang w:val="en-US" w:eastAsia="zh-CN"/>
        </w:rPr>
        <w:t>中心</w:t>
      </w:r>
      <w:r>
        <w:rPr>
          <w:rFonts w:hint="eastAsia"/>
        </w:rPr>
        <w:t>、旗民委</w:t>
      </w:r>
    </w:p>
    <w:p>
      <w:pPr>
        <w:ind w:firstLine="640"/>
        <w:rPr>
          <w:b/>
          <w:bCs/>
        </w:rPr>
      </w:pPr>
      <w:r>
        <w:rPr>
          <w:rFonts w:hint="eastAsia"/>
          <w:b/>
          <w:bCs/>
        </w:rPr>
        <w:t>3.专题宣讲</w:t>
      </w:r>
    </w:p>
    <w:p>
      <w:pPr>
        <w:ind w:firstLine="640"/>
      </w:pPr>
      <w:r>
        <w:rPr>
          <w:rFonts w:hint="eastAsia"/>
        </w:rPr>
        <w:t>组织开展党的二十大精神、民族理论政策</w:t>
      </w:r>
      <w:r>
        <w:rPr>
          <w:rFonts w:hint="eastAsia"/>
          <w:lang w:eastAsia="zh-CN"/>
        </w:rPr>
        <w:t>、</w:t>
      </w:r>
      <w:r>
        <w:rPr>
          <w:rFonts w:hint="eastAsia"/>
          <w:lang w:val="en-US" w:eastAsia="zh-CN"/>
        </w:rPr>
        <w:t>民族法律法规</w:t>
      </w:r>
      <w:r>
        <w:rPr>
          <w:rFonts w:hint="eastAsia"/>
        </w:rPr>
        <w:t>和民族团结进步模范事迹专题宣讲，教育引导各族干部群众牢固树立“三个离不开”，不断增强“五个认同”，做到“四个与共”。</w:t>
      </w:r>
    </w:p>
    <w:p>
      <w:pPr>
        <w:ind w:firstLine="640"/>
      </w:pPr>
      <w:r>
        <w:rPr>
          <w:rFonts w:hint="eastAsia"/>
        </w:rPr>
        <w:t>主办单位:旗委宣传部、旗民委</w:t>
      </w:r>
    </w:p>
    <w:p>
      <w:pPr>
        <w:ind w:firstLine="640"/>
        <w:rPr>
          <w:b/>
          <w:bCs/>
        </w:rPr>
      </w:pPr>
      <w:r>
        <w:rPr>
          <w:rFonts w:hint="eastAsia"/>
          <w:b/>
          <w:bCs/>
        </w:rPr>
        <w:t>4.集中宣传</w:t>
      </w:r>
    </w:p>
    <w:p>
      <w:pPr>
        <w:ind w:firstLine="640"/>
      </w:pPr>
      <w:r>
        <w:rPr>
          <w:rFonts w:hint="eastAsia"/>
        </w:rPr>
        <w:t>开展一次集中宣传活动，向群众面对面宣传和普及党的民族</w:t>
      </w:r>
      <w:r>
        <w:rPr>
          <w:rFonts w:hint="eastAsia"/>
          <w:lang w:val="en-US" w:eastAsia="zh-CN"/>
        </w:rPr>
        <w:t>理论政策和民族法律法规</w:t>
      </w:r>
      <w:r>
        <w:rPr>
          <w:rFonts w:hint="eastAsia"/>
        </w:rPr>
        <w:t>相关知识，进一步引导各族群众自觉增强维护民族团结的责任感、使命感，牢固树立“三个离不开”“五个认同”思想，让“中华民族一家亲 同心共筑中国梦”深入人心。</w:t>
      </w:r>
    </w:p>
    <w:p>
      <w:pPr>
        <w:ind w:firstLine="640"/>
      </w:pPr>
      <w:r>
        <w:rPr>
          <w:rFonts w:hint="eastAsia"/>
        </w:rPr>
        <w:t>主办单位：旗委统战部、</w:t>
      </w:r>
      <w:r>
        <w:rPr>
          <w:rFonts w:hint="eastAsia"/>
          <w:lang w:val="en-US" w:eastAsia="zh-CN"/>
        </w:rPr>
        <w:t>宣传部、</w:t>
      </w:r>
      <w:r>
        <w:rPr>
          <w:rFonts w:hint="eastAsia"/>
        </w:rPr>
        <w:t xml:space="preserve">旗司法局、旗民委 </w:t>
      </w:r>
    </w:p>
    <w:p>
      <w:pPr>
        <w:numPr>
          <w:ilvl w:val="0"/>
          <w:numId w:val="0"/>
        </w:numPr>
        <w:ind w:firstLine="643" w:firstLineChars="200"/>
        <w:rPr>
          <w:rFonts w:hint="default"/>
          <w:b/>
          <w:bCs/>
          <w:highlight w:val="none"/>
          <w:lang w:val="en-US" w:eastAsia="zh-CN"/>
        </w:rPr>
      </w:pPr>
      <w:r>
        <w:rPr>
          <w:rFonts w:hint="eastAsia"/>
          <w:b/>
          <w:bCs/>
          <w:highlight w:val="none"/>
          <w:lang w:val="en-US" w:eastAsia="zh-CN"/>
        </w:rPr>
        <w:t>5.知识竞赛</w:t>
      </w:r>
    </w:p>
    <w:p>
      <w:pPr>
        <w:numPr>
          <w:ilvl w:val="0"/>
          <w:numId w:val="0"/>
        </w:numPr>
        <w:ind w:firstLine="640" w:firstLineChars="200"/>
        <w:rPr>
          <w:rFonts w:hint="eastAsia"/>
          <w:highlight w:val="none"/>
        </w:rPr>
      </w:pPr>
      <w:r>
        <w:rPr>
          <w:rFonts w:hint="eastAsia" w:ascii="仿宋_GB2312" w:hAnsi="仿宋_GB2312" w:eastAsia="仿宋_GB2312" w:cs="仿宋_GB2312"/>
          <w:highlight w:val="none"/>
          <w:lang w:val="en-US" w:eastAsia="zh-CN"/>
        </w:rPr>
        <w:t>加强对各族师生党的民族理论政策和民族法律法规的宣传教育，</w:t>
      </w:r>
      <w:r>
        <w:rPr>
          <w:rFonts w:hint="eastAsia" w:ascii="仿宋_GB2312" w:hAnsi="仿宋_GB2312" w:cs="仿宋_GB2312"/>
          <w:highlight w:val="none"/>
          <w:lang w:val="en-US" w:eastAsia="zh-CN"/>
        </w:rPr>
        <w:t>组织</w:t>
      </w:r>
      <w:r>
        <w:rPr>
          <w:rFonts w:hint="eastAsia"/>
          <w:highlight w:val="none"/>
        </w:rPr>
        <w:t>开展党的二十大精神、民族理论政策</w:t>
      </w:r>
      <w:r>
        <w:rPr>
          <w:rFonts w:hint="eastAsia"/>
          <w:highlight w:val="none"/>
          <w:lang w:val="en-US" w:eastAsia="zh-CN"/>
        </w:rPr>
        <w:t>和民族法律法规</w:t>
      </w:r>
      <w:r>
        <w:rPr>
          <w:rFonts w:hint="eastAsia"/>
          <w:highlight w:val="none"/>
        </w:rPr>
        <w:t>知识竞赛，</w:t>
      </w:r>
      <w:r>
        <w:rPr>
          <w:rFonts w:hint="eastAsia"/>
          <w:highlight w:val="none"/>
          <w:lang w:val="en-US" w:eastAsia="zh-CN"/>
        </w:rPr>
        <w:t>引导师生</w:t>
      </w:r>
      <w:r>
        <w:rPr>
          <w:rFonts w:hint="eastAsia"/>
          <w:highlight w:val="none"/>
        </w:rPr>
        <w:t>自觉维护祖国统一和民族团结。</w:t>
      </w:r>
    </w:p>
    <w:p>
      <w:pPr>
        <w:ind w:firstLine="640"/>
        <w:rPr>
          <w:highlight w:val="none"/>
        </w:rPr>
      </w:pPr>
      <w:r>
        <w:rPr>
          <w:rFonts w:hint="eastAsia"/>
          <w:highlight w:val="none"/>
        </w:rPr>
        <w:t>主办单位:旗教体局、旗民委</w:t>
      </w:r>
    </w:p>
    <w:p>
      <w:pPr>
        <w:ind w:firstLine="640"/>
        <w:rPr>
          <w:rFonts w:ascii="黑体" w:hAnsi="黑体" w:eastAsia="黑体" w:cs="黑体"/>
        </w:rPr>
      </w:pPr>
      <w:r>
        <w:rPr>
          <w:rFonts w:hint="eastAsia" w:ascii="黑体" w:hAnsi="黑体" w:eastAsia="黑体" w:cs="黑体"/>
        </w:rPr>
        <w:t>六、工作要求</w:t>
      </w:r>
    </w:p>
    <w:p>
      <w:r>
        <w:rPr>
          <w:rFonts w:hint="eastAsia" w:ascii="楷体_GB2312" w:hAnsi="楷体_GB2312" w:eastAsia="楷体_GB2312" w:cs="楷体_GB2312"/>
          <w:b/>
          <w:bCs/>
        </w:rPr>
        <w:t>(一)加强领导，精心组织。</w:t>
      </w:r>
      <w:r>
        <w:rPr>
          <w:rFonts w:hint="eastAsia"/>
        </w:rPr>
        <w:t>各地区各部门单位要切实提高政治站位，加强组织领导，切实把做好“民族政策宣传月”“民族法治宣传周”工作作为一项重要工作抓好抓细，推动各项工作要求落地落实。要结合实际制定方案、及时部署、迅速行动，确保“民族政策宣传月”“民族法治宣传周”有序开展、成效显著。</w:t>
      </w:r>
    </w:p>
    <w:p>
      <w:r>
        <w:rPr>
          <w:rFonts w:hint="eastAsia" w:ascii="楷体_GB2312" w:hAnsi="楷体_GB2312" w:eastAsia="楷体_GB2312" w:cs="楷体_GB2312"/>
          <w:b/>
          <w:bCs/>
        </w:rPr>
        <w:t>(二)创新方法，强化落实。</w:t>
      </w:r>
      <w:r>
        <w:rPr>
          <w:rFonts w:hint="eastAsia"/>
        </w:rPr>
        <w:t>各地区各部门单位要紧扣宣传主题，结合开展学习贯彻习近平新时代中国特色社会主义思想主题教育，深入开展党的民族理论政策和民族法律法规的宣传教育，创新活动方式和载体，实现移动端、广播端、电视端、网端、云端全媒体传播，做到全方位、多渠道、广覆盖。各地区各部门单位要把宣传月(周)活动各项工作任务细化分解，做到有方案、有要求、有载体、有抓手、有总结，力戒形式主义，防止走过场，务求有形有感有效。</w:t>
      </w:r>
    </w:p>
    <w:p>
      <w:pPr>
        <w:rPr>
          <w:rFonts w:hint="eastAsia" w:eastAsia="仿宋_GB2312"/>
          <w:lang w:eastAsia="zh-CN"/>
        </w:rPr>
      </w:pPr>
      <w:r>
        <w:rPr>
          <w:rFonts w:hint="eastAsia" w:ascii="楷体_GB2312" w:hAnsi="楷体_GB2312" w:eastAsia="楷体_GB2312" w:cs="楷体_GB2312"/>
          <w:b/>
          <w:bCs/>
        </w:rPr>
        <w:t>(三)总结经验，深化成效。</w:t>
      </w:r>
      <w:r>
        <w:rPr>
          <w:rFonts w:hint="eastAsia"/>
        </w:rPr>
        <w:t>将开展“民族政策宣传月”“民族法治宣传周”工作情况作为铸牢中华民族共同体意识考核工作的重要内容，各地区各部门单位至少要开展一次群众性的宣传活动，及时总结行之有效的做法和经验，并随时报送开展活动的相关信息，整体工作总结于5月 23日前报至旗民委民族股，邮箱:nmqminwei@163.com</w:t>
      </w:r>
      <w:r>
        <w:rPr>
          <w:rFonts w:hint="eastAsia"/>
          <w:lang w:eastAsia="zh-CN"/>
        </w:rPr>
        <w:t>，</w:t>
      </w:r>
      <w:r>
        <w:rPr>
          <w:rFonts w:hint="eastAsia"/>
        </w:rPr>
        <w:t>旗民委联系人:王东伟 联系电话：17604841298</w:t>
      </w:r>
      <w:r>
        <w:rPr>
          <w:rFonts w:hint="eastAsia"/>
          <w:lang w:eastAsia="zh-CN"/>
        </w:rPr>
        <w:t>。</w:t>
      </w:r>
    </w:p>
    <w:sectPr>
      <w:footerReference r:id="rId10" w:type="default"/>
      <w:pgSz w:w="11906" w:h="16838"/>
      <w:pgMar w:top="1440" w:right="1800" w:bottom="1440" w:left="1800" w:header="851" w:footer="992" w:gutter="0"/>
      <w:pgNumType w:fmt="numberInDash" w:start="3"/>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firstLine="360"/>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asciiTheme="minorEastAsia" w:hAnsiTheme="minorEastAsia" w:eastAsiaTheme="minorEastAsia" w:cstheme="minorEastAsia"/>
                            </w:rPr>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3</w:t>
                          </w:r>
                          <w:r>
                            <w:rPr>
                              <w:rFonts w:hint="eastAsia" w:asciiTheme="minorEastAsia" w:hAnsiTheme="minorEastAsia" w:eastAsiaTheme="minorEastAsia" w:cstheme="minorEastAsia"/>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2"/>
                      <w:rPr>
                        <w:rFonts w:hint="eastAsia" w:asciiTheme="minorEastAsia" w:hAnsiTheme="minorEastAsia" w:eastAsiaTheme="minorEastAsia" w:cstheme="minorEastAsia"/>
                      </w:rPr>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3</w:t>
                    </w:r>
                    <w:r>
                      <w:rPr>
                        <w:rFonts w:hint="eastAsia" w:asciiTheme="minorEastAsia" w:hAnsiTheme="minorEastAsia" w:eastAsiaTheme="minorEastAsia" w:cstheme="minorEastAsia"/>
                        <w:sz w:val="28"/>
                        <w:szCs w:val="28"/>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197D599"/>
    <w:multiLevelType w:val="singleLevel"/>
    <w:tmpl w:val="9197D599"/>
    <w:lvl w:ilvl="0" w:tentative="0">
      <w:start w:val="5"/>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IzYWRhNzM4YzkxOGRjNWQzZGJjZDk1ZmFkMWRiN2UifQ=="/>
  </w:docVars>
  <w:rsids>
    <w:rsidRoot w:val="002C5DD5"/>
    <w:rsid w:val="002C5DD5"/>
    <w:rsid w:val="00743814"/>
    <w:rsid w:val="00B61C6B"/>
    <w:rsid w:val="00C41C6B"/>
    <w:rsid w:val="00D64C58"/>
    <w:rsid w:val="028E38CE"/>
    <w:rsid w:val="036D7252"/>
    <w:rsid w:val="090F7DC5"/>
    <w:rsid w:val="0A8F3F52"/>
    <w:rsid w:val="0CF74C6E"/>
    <w:rsid w:val="0E1B2197"/>
    <w:rsid w:val="10DC1574"/>
    <w:rsid w:val="15C548C8"/>
    <w:rsid w:val="15C73A33"/>
    <w:rsid w:val="16505A06"/>
    <w:rsid w:val="1B0F3B71"/>
    <w:rsid w:val="218B34AA"/>
    <w:rsid w:val="237975FA"/>
    <w:rsid w:val="24CD14A7"/>
    <w:rsid w:val="26964247"/>
    <w:rsid w:val="2A263393"/>
    <w:rsid w:val="2A3D2C2B"/>
    <w:rsid w:val="2B437CFB"/>
    <w:rsid w:val="2F5E5B1E"/>
    <w:rsid w:val="2F697DE0"/>
    <w:rsid w:val="314834AC"/>
    <w:rsid w:val="32E14A9C"/>
    <w:rsid w:val="337C2A16"/>
    <w:rsid w:val="36575075"/>
    <w:rsid w:val="3A0151C3"/>
    <w:rsid w:val="3A175247"/>
    <w:rsid w:val="3B070AAE"/>
    <w:rsid w:val="3C1E28BD"/>
    <w:rsid w:val="3D7C2C8A"/>
    <w:rsid w:val="3F3E5024"/>
    <w:rsid w:val="420147B7"/>
    <w:rsid w:val="425029D1"/>
    <w:rsid w:val="448206ED"/>
    <w:rsid w:val="4C6111C2"/>
    <w:rsid w:val="4CE27936"/>
    <w:rsid w:val="4E8C7B5A"/>
    <w:rsid w:val="50F47C38"/>
    <w:rsid w:val="52B170EA"/>
    <w:rsid w:val="57944F08"/>
    <w:rsid w:val="59345076"/>
    <w:rsid w:val="5E3333BE"/>
    <w:rsid w:val="5EA66A16"/>
    <w:rsid w:val="5FD12A2A"/>
    <w:rsid w:val="605424A1"/>
    <w:rsid w:val="60C24175"/>
    <w:rsid w:val="64422FAC"/>
    <w:rsid w:val="68C34C76"/>
    <w:rsid w:val="6B87197D"/>
    <w:rsid w:val="75120A51"/>
    <w:rsid w:val="79F3642F"/>
    <w:rsid w:val="7AD877D5"/>
    <w:rsid w:val="7D2C0286"/>
    <w:rsid w:val="7EDC79A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560" w:lineRule="exact"/>
      <w:ind w:firstLine="643" w:firstLineChars="200"/>
      <w:jc w:val="both"/>
    </w:pPr>
    <w:rPr>
      <w:rFonts w:eastAsia="仿宋_GB2312" w:asciiTheme="minorHAnsi" w:hAnsiTheme="minorHAnsi" w:cstheme="minorBidi"/>
      <w:kern w:val="2"/>
      <w:sz w:val="32"/>
      <w:szCs w:val="24"/>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7"/>
    <w:qFormat/>
    <w:uiPriority w:val="0"/>
    <w:pPr>
      <w:tabs>
        <w:tab w:val="center" w:pos="4153"/>
        <w:tab w:val="right" w:pos="8306"/>
      </w:tabs>
      <w:snapToGrid w:val="0"/>
      <w:spacing w:line="240" w:lineRule="atLeast"/>
      <w:jc w:val="left"/>
    </w:pPr>
    <w:rPr>
      <w:sz w:val="18"/>
      <w:szCs w:val="18"/>
    </w:rPr>
  </w:style>
  <w:style w:type="paragraph" w:styleId="3">
    <w:name w:val="header"/>
    <w:basedOn w:val="1"/>
    <w:link w:val="6"/>
    <w:qFormat/>
    <w:uiPriority w:val="0"/>
    <w:pPr>
      <w:pBdr>
        <w:bottom w:val="single" w:color="auto" w:sz="6" w:space="1"/>
      </w:pBdr>
      <w:tabs>
        <w:tab w:val="center" w:pos="4153"/>
        <w:tab w:val="right" w:pos="8306"/>
      </w:tabs>
      <w:snapToGrid w:val="0"/>
      <w:spacing w:line="240" w:lineRule="atLeast"/>
      <w:jc w:val="center"/>
    </w:pPr>
    <w:rPr>
      <w:sz w:val="18"/>
      <w:szCs w:val="18"/>
    </w:rPr>
  </w:style>
  <w:style w:type="character" w:customStyle="1" w:styleId="6">
    <w:name w:val="页眉 Char"/>
    <w:basedOn w:val="5"/>
    <w:link w:val="3"/>
    <w:qFormat/>
    <w:uiPriority w:val="0"/>
    <w:rPr>
      <w:rFonts w:eastAsia="仿宋_GB2312"/>
      <w:kern w:val="2"/>
      <w:sz w:val="18"/>
      <w:szCs w:val="18"/>
    </w:rPr>
  </w:style>
  <w:style w:type="character" w:customStyle="1" w:styleId="7">
    <w:name w:val="页脚 Char"/>
    <w:basedOn w:val="5"/>
    <w:link w:val="2"/>
    <w:qFormat/>
    <w:uiPriority w:val="0"/>
    <w:rPr>
      <w:rFonts w:eastAsia="仿宋_GB2312"/>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9</Pages>
  <Words>3108</Words>
  <Characters>3168</Characters>
  <Lines>23</Lines>
  <Paragraphs>6</Paragraphs>
  <TotalTime>5</TotalTime>
  <ScaleCrop>false</ScaleCrop>
  <LinksUpToDate>false</LinksUpToDate>
  <CharactersWithSpaces>3236</CharactersWithSpaces>
  <Application>WPS Office_12.1.0.15120_F1E327BC-269C-435d-A152-05C5408002CA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2023-04-25T09:13:00Z</dcterms:created>
  <dc:creator>Administrator</dc:creator>
  <cp:lastModifiedBy>LX</cp:lastModifiedBy>
  <cp:lastPrinted>2023-04-26T07:07:00Z</cp:lastPrinted>
  <dcterms:modified xsi:type="dcterms:W3CDTF">2023-07-24T06:36:21Z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2052-12.1.0.15120</vt:lpwstr>
  </property>
  <property fmtid="{D5CDD505-2E9C-101B-9397-08002B2CF9AE}" pid="3" name="ICV">
    <vt:lpwstr>A3BF28C93BE540AB929688D2384075D3_13</vt:lpwstr>
  </property>
</Properties>
</file>