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98" w:rsidRDefault="00B87598" w:rsidP="00B87598">
      <w:pPr>
        <w:ind w:firstLineChars="400" w:firstLine="1767"/>
        <w:rPr>
          <w:rFonts w:ascii="黑体" w:eastAsia="黑体" w:hAnsi="黑体"/>
          <w:b/>
          <w:bCs/>
          <w:kern w:val="0"/>
          <w:sz w:val="44"/>
          <w:szCs w:val="44"/>
        </w:rPr>
      </w:pPr>
      <w:r>
        <w:rPr>
          <w:rFonts w:ascii="黑体" w:eastAsia="黑体" w:hAnsi="黑体" w:hint="eastAsia"/>
          <w:b/>
          <w:bCs/>
          <w:kern w:val="0"/>
          <w:sz w:val="44"/>
          <w:szCs w:val="44"/>
        </w:rPr>
        <w:t>奈</w:t>
      </w:r>
      <w:proofErr w:type="gramStart"/>
      <w:r>
        <w:rPr>
          <w:rFonts w:ascii="黑体" w:eastAsia="黑体" w:hAnsi="黑体" w:hint="eastAsia"/>
          <w:b/>
          <w:bCs/>
          <w:kern w:val="0"/>
          <w:sz w:val="44"/>
          <w:szCs w:val="44"/>
        </w:rPr>
        <w:t>曼</w:t>
      </w:r>
      <w:proofErr w:type="gramEnd"/>
      <w:r>
        <w:rPr>
          <w:rFonts w:ascii="黑体" w:eastAsia="黑体" w:hAnsi="黑体" w:hint="eastAsia"/>
          <w:b/>
          <w:bCs/>
          <w:kern w:val="0"/>
          <w:sz w:val="44"/>
          <w:szCs w:val="44"/>
        </w:rPr>
        <w:t xml:space="preserve">旗2023年第一季度 </w:t>
      </w:r>
    </w:p>
    <w:p w:rsidR="00B87598" w:rsidRDefault="00B87598" w:rsidP="00B87598">
      <w:pPr>
        <w:jc w:val="center"/>
        <w:rPr>
          <w:rFonts w:ascii="黑体" w:eastAsia="黑体" w:hAnsi="黑体" w:hint="eastAsia"/>
          <w:b/>
          <w:bCs/>
          <w:kern w:val="0"/>
          <w:sz w:val="44"/>
          <w:szCs w:val="44"/>
        </w:rPr>
      </w:pPr>
      <w:r>
        <w:rPr>
          <w:rFonts w:ascii="黑体" w:eastAsia="黑体" w:hAnsi="黑体" w:hint="eastAsia"/>
          <w:b/>
          <w:bCs/>
          <w:kern w:val="0"/>
          <w:sz w:val="44"/>
          <w:szCs w:val="44"/>
        </w:rPr>
        <w:t>环境质量状况报告</w:t>
      </w:r>
    </w:p>
    <w:p w:rsidR="00B87598" w:rsidRDefault="00B87598" w:rsidP="00B87598">
      <w:pPr>
        <w:jc w:val="center"/>
        <w:rPr>
          <w:rFonts w:ascii="宋体" w:hAnsi="宋体" w:hint="eastAsia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 xml:space="preserve"> </w:t>
      </w:r>
    </w:p>
    <w:p w:rsidR="00B87598" w:rsidRDefault="00B87598" w:rsidP="00B87598">
      <w:pPr>
        <w:jc w:val="left"/>
        <w:rPr>
          <w:rFonts w:ascii="宋体" w:hAnsi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一、环境空气质量</w:t>
      </w:r>
    </w:p>
    <w:p w:rsidR="00B87598" w:rsidRDefault="00B87598" w:rsidP="00B87598">
      <w:pPr>
        <w:ind w:firstLineChars="200" w:firstLine="560"/>
        <w:rPr>
          <w:rFonts w:ascii="宋体" w:hAnsi="宋体" w:hint="eastAsia"/>
          <w:color w:val="000000"/>
          <w:kern w:val="0"/>
          <w:sz w:val="28"/>
          <w:szCs w:val="28"/>
          <w:vertAlign w:val="subscript"/>
        </w:rPr>
      </w:pPr>
      <w:r>
        <w:rPr>
          <w:rFonts w:ascii="宋体" w:hAnsi="宋体" w:hint="eastAsia"/>
          <w:sz w:val="28"/>
          <w:szCs w:val="28"/>
        </w:rPr>
        <w:t>大镇环境空气质量连续自动监测，第一季度有效监测天数共计87天，其中天气优41天，天气良35天，优良天气共计76天，</w:t>
      </w:r>
      <w:r>
        <w:rPr>
          <w:rFonts w:ascii="宋体" w:hAnsi="宋体" w:hint="eastAsia"/>
          <w:color w:val="000000"/>
          <w:sz w:val="28"/>
          <w:szCs w:val="28"/>
        </w:rPr>
        <w:t>优良率为87.3</w:t>
      </w:r>
      <w:r>
        <w:rPr>
          <w:rFonts w:ascii="宋体" w:hAnsi="宋体" w:hint="eastAsia"/>
          <w:sz w:val="28"/>
          <w:szCs w:val="28"/>
        </w:rPr>
        <w:t>%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轻度污染9天，中度污染1天，重度污染1天，污染率为12.5%，影响环境空气质量的</w:t>
      </w:r>
      <w:r>
        <w:rPr>
          <w:rFonts w:ascii="宋体" w:hAnsi="宋体" w:hint="eastAsia"/>
          <w:color w:val="000000"/>
          <w:sz w:val="28"/>
          <w:szCs w:val="28"/>
        </w:rPr>
        <w:t>首要污染物为PM</w:t>
      </w:r>
      <w:r>
        <w:rPr>
          <w:rFonts w:ascii="宋体" w:hAnsi="宋体" w:hint="eastAsia"/>
          <w:color w:val="000000"/>
          <w:sz w:val="28"/>
          <w:szCs w:val="28"/>
          <w:vertAlign w:val="subscript"/>
        </w:rPr>
        <w:t>10。</w:t>
      </w:r>
    </w:p>
    <w:p w:rsidR="00B87598" w:rsidRDefault="00B87598" w:rsidP="00B87598">
      <w:pPr>
        <w:ind w:firstLineChars="400" w:firstLine="1280"/>
        <w:rPr>
          <w:rFonts w:ascii="宋体" w:hAnsi="宋体" w:hint="eastAsia"/>
          <w:color w:val="000000"/>
          <w:kern w:val="0"/>
          <w:sz w:val="32"/>
          <w:szCs w:val="32"/>
        </w:rPr>
      </w:pPr>
      <w:r>
        <w:rPr>
          <w:rFonts w:ascii="宋体" w:hAnsi="宋体" w:hint="eastAsia"/>
          <w:color w:val="000000"/>
          <w:kern w:val="0"/>
          <w:sz w:val="32"/>
          <w:szCs w:val="32"/>
        </w:rPr>
        <w:t>城市环境空气质量监测数据统计一览表</w:t>
      </w:r>
    </w:p>
    <w:tbl>
      <w:tblPr>
        <w:tblW w:w="849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585"/>
        <w:gridCol w:w="569"/>
        <w:gridCol w:w="661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510"/>
        <w:gridCol w:w="733"/>
        <w:gridCol w:w="767"/>
      </w:tblGrid>
      <w:tr w:rsidR="00B87598" w:rsidTr="00B87598">
        <w:trPr>
          <w:trHeight w:val="54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月份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有效天数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优良天数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污染天数</w:t>
            </w:r>
          </w:p>
        </w:tc>
        <w:tc>
          <w:tcPr>
            <w:tcW w:w="31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平均浓度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6"/>
                <w:szCs w:val="16"/>
              </w:rPr>
              <w:t>首要</w:t>
            </w:r>
            <w:proofErr w:type="gramStart"/>
            <w:r>
              <w:rPr>
                <w:rFonts w:ascii="宋体" w:hAnsi="宋体" w:hint="eastAsia"/>
                <w:b/>
                <w:color w:val="000000"/>
                <w:kern w:val="0"/>
                <w:sz w:val="16"/>
                <w:szCs w:val="16"/>
              </w:rPr>
              <w:t>污</w:t>
            </w:r>
            <w:proofErr w:type="gramEnd"/>
          </w:p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kern w:val="0"/>
                <w:sz w:val="16"/>
                <w:szCs w:val="16"/>
              </w:rPr>
              <w:t>染物</w:t>
            </w:r>
            <w:proofErr w:type="gramEnd"/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6"/>
                <w:szCs w:val="16"/>
              </w:rPr>
              <w:t>综合质量指数</w:t>
            </w:r>
          </w:p>
        </w:tc>
      </w:tr>
      <w:tr w:rsidR="00B87598" w:rsidTr="00B87598">
        <w:trPr>
          <w:trHeight w:val="6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598" w:rsidRDefault="00B87598"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598" w:rsidRDefault="00B87598"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良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轻度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中度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重度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7"/>
                <w:szCs w:val="17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7"/>
                <w:szCs w:val="17"/>
              </w:rPr>
              <w:t>SO</w:t>
            </w:r>
            <w:r>
              <w:rPr>
                <w:rFonts w:ascii="宋体" w:hAnsi="宋体" w:hint="eastAsia"/>
                <w:b/>
                <w:color w:val="000000"/>
                <w:kern w:val="0"/>
                <w:sz w:val="17"/>
                <w:szCs w:val="17"/>
                <w:vertAlign w:val="subscript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7"/>
                <w:szCs w:val="17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7"/>
                <w:szCs w:val="17"/>
              </w:rPr>
              <w:t>NO</w:t>
            </w:r>
            <w:r>
              <w:rPr>
                <w:rFonts w:ascii="宋体" w:hAnsi="宋体" w:hint="eastAsia"/>
                <w:b/>
                <w:color w:val="000000"/>
                <w:kern w:val="0"/>
                <w:sz w:val="17"/>
                <w:szCs w:val="17"/>
                <w:vertAlign w:val="subscript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7"/>
                <w:szCs w:val="17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7"/>
                <w:szCs w:val="17"/>
              </w:rPr>
              <w:t>PM</w:t>
            </w:r>
            <w:r>
              <w:rPr>
                <w:rFonts w:ascii="宋体" w:hAnsi="宋体" w:hint="eastAsia"/>
                <w:b/>
                <w:color w:val="000000"/>
                <w:kern w:val="0"/>
                <w:sz w:val="17"/>
                <w:szCs w:val="17"/>
                <w:vertAlign w:val="subscript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6"/>
                <w:szCs w:val="16"/>
              </w:rPr>
              <w:t>CO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7"/>
                <w:szCs w:val="17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7"/>
                <w:szCs w:val="17"/>
              </w:rPr>
              <w:t>O</w:t>
            </w:r>
            <w:r>
              <w:rPr>
                <w:rFonts w:ascii="宋体" w:hAnsi="宋体" w:hint="eastAsia"/>
                <w:b/>
                <w:color w:val="000000"/>
                <w:kern w:val="0"/>
                <w:sz w:val="17"/>
                <w:szCs w:val="17"/>
                <w:vertAlign w:val="subscript"/>
              </w:rPr>
              <w:t>3</w:t>
            </w:r>
            <w:r>
              <w:rPr>
                <w:rFonts w:ascii="宋体" w:hAnsi="宋体" w:hint="eastAsia"/>
                <w:b/>
                <w:color w:val="000000"/>
                <w:kern w:val="0"/>
                <w:sz w:val="17"/>
                <w:szCs w:val="17"/>
              </w:rPr>
              <w:t>_8h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7"/>
                <w:szCs w:val="17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17"/>
                <w:szCs w:val="17"/>
              </w:rPr>
              <w:t>PM</w:t>
            </w:r>
            <w:r>
              <w:rPr>
                <w:rFonts w:ascii="宋体" w:hAnsi="宋体" w:hint="eastAsia"/>
                <w:b/>
                <w:color w:val="000000"/>
                <w:kern w:val="0"/>
                <w:sz w:val="17"/>
                <w:szCs w:val="17"/>
                <w:vertAlign w:val="subscript"/>
              </w:rPr>
              <w:t>2.5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598" w:rsidRDefault="00B87598">
            <w:pPr>
              <w:widowControl/>
              <w:jc w:val="left"/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598" w:rsidRDefault="00B87598">
            <w:pPr>
              <w:widowControl/>
              <w:jc w:val="left"/>
              <w:rPr>
                <w:rFonts w:ascii="宋体" w:hAnsi="宋体"/>
                <w:b/>
                <w:color w:val="000000"/>
                <w:sz w:val="16"/>
                <w:szCs w:val="16"/>
              </w:rPr>
            </w:pPr>
          </w:p>
        </w:tc>
      </w:tr>
      <w:tr w:rsidR="00B87598" w:rsidTr="00B87598">
        <w:trPr>
          <w:trHeight w:val="6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1-3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PM</w:t>
            </w:r>
            <w:r>
              <w:rPr>
                <w:rFonts w:ascii="宋体" w:hAnsi="宋体" w:hint="eastAsia"/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598" w:rsidRDefault="00B8759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3.47</w:t>
            </w:r>
          </w:p>
        </w:tc>
      </w:tr>
    </w:tbl>
    <w:p w:rsidR="00B87598" w:rsidRDefault="00B87598" w:rsidP="00B87598">
      <w:pPr>
        <w:rPr>
          <w:rFonts w:ascii="宋体" w:hAnsi="宋体" w:hint="eastAsia"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5264150" cy="3511550"/>
            <wp:effectExtent l="19050" t="0" r="0" b="0"/>
            <wp:docPr id="1" name="图片 1" descr="C:\Users\LENOVO~1\AppData\Local\Temp\ksohtml1736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~1\AppData\Local\Temp\ksohtml17368\wps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kern w:val="0"/>
          <w:sz w:val="32"/>
          <w:szCs w:val="32"/>
        </w:rPr>
        <w:t xml:space="preserve"> </w:t>
      </w:r>
    </w:p>
    <w:p w:rsidR="00B87598" w:rsidRDefault="00B87598" w:rsidP="00B87598">
      <w:pPr>
        <w:ind w:firstLineChars="150" w:firstLine="420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lastRenderedPageBreak/>
        <w:t>监测项目：二氧化硫、二氧化氮、PM</w:t>
      </w:r>
      <w:r>
        <w:rPr>
          <w:rFonts w:ascii="宋体" w:hAnsi="宋体" w:hint="eastAsia"/>
          <w:color w:val="000000"/>
          <w:kern w:val="0"/>
          <w:sz w:val="28"/>
          <w:szCs w:val="28"/>
          <w:vertAlign w:val="subscript"/>
        </w:rPr>
        <w:t>10</w:t>
      </w:r>
      <w:r>
        <w:rPr>
          <w:rFonts w:ascii="宋体" w:hAnsi="宋体" w:hint="eastAsia"/>
          <w:color w:val="000000"/>
          <w:kern w:val="0"/>
          <w:sz w:val="28"/>
          <w:szCs w:val="28"/>
        </w:rPr>
        <w:t>、一氧化碳、臭氧、PM</w:t>
      </w:r>
      <w:r>
        <w:rPr>
          <w:rFonts w:ascii="宋体" w:hAnsi="宋体" w:hint="eastAsia"/>
          <w:color w:val="000000"/>
          <w:kern w:val="0"/>
          <w:sz w:val="28"/>
          <w:szCs w:val="28"/>
          <w:vertAlign w:val="subscript"/>
        </w:rPr>
        <w:t>2.5</w:t>
      </w:r>
    </w:p>
    <w:p w:rsidR="00B87598" w:rsidRDefault="00B87598" w:rsidP="00B87598">
      <w:pPr>
        <w:ind w:firstLineChars="150" w:firstLine="420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评价标准和方法：执行《环境空气质量标准》（GB3095-2012）</w:t>
      </w:r>
      <w:r>
        <w:rPr>
          <w:rFonts w:ascii="宋体" w:hAnsi="宋体" w:hint="eastAsia"/>
          <w:sz w:val="28"/>
          <w:szCs w:val="28"/>
        </w:rPr>
        <w:t xml:space="preserve"> 二级浓度标准限值，综合质量指数</w:t>
      </w:r>
      <w:r>
        <w:rPr>
          <w:rFonts w:ascii="宋体" w:hAnsi="宋体" w:hint="eastAsia"/>
          <w:color w:val="000000"/>
          <w:kern w:val="0"/>
          <w:sz w:val="28"/>
          <w:szCs w:val="28"/>
        </w:rPr>
        <w:t>根据《环境空气质量评价技术规范（试行）》（HJ663-2013）</w:t>
      </w:r>
      <w:r>
        <w:rPr>
          <w:rFonts w:ascii="宋体" w:hAnsi="宋体" w:hint="eastAsia"/>
          <w:sz w:val="28"/>
          <w:szCs w:val="28"/>
        </w:rPr>
        <w:t>计算</w:t>
      </w:r>
      <w:r>
        <w:rPr>
          <w:rFonts w:ascii="宋体" w:hAnsi="宋体" w:hint="eastAsia"/>
          <w:color w:val="000000"/>
          <w:kern w:val="0"/>
          <w:sz w:val="28"/>
          <w:szCs w:val="28"/>
        </w:rPr>
        <w:t>。</w:t>
      </w:r>
    </w:p>
    <w:p w:rsidR="00B87598" w:rsidRDefault="00B87598" w:rsidP="00B87598">
      <w:pPr>
        <w:ind w:firstLineChars="150" w:firstLine="420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注：季均浓度值（单位：除CO为</w:t>
      </w:r>
      <w:proofErr w:type="gramStart"/>
      <w:r>
        <w:rPr>
          <w:rFonts w:ascii="宋体" w:hAnsi="宋体" w:hint="eastAsia"/>
          <w:color w:val="000000"/>
          <w:kern w:val="0"/>
          <w:sz w:val="28"/>
          <w:szCs w:val="28"/>
        </w:rPr>
        <w:t>毫克/</w:t>
      </w:r>
      <w:proofErr w:type="gramEnd"/>
      <w:r>
        <w:rPr>
          <w:rFonts w:ascii="宋体" w:hAnsi="宋体" w:hint="eastAsia"/>
          <w:color w:val="000000"/>
          <w:kern w:val="0"/>
          <w:sz w:val="28"/>
          <w:szCs w:val="28"/>
        </w:rPr>
        <w:t>立方米外，其它均为微克/立方米）。</w:t>
      </w:r>
    </w:p>
    <w:p w:rsidR="00B87598" w:rsidRDefault="00B87598" w:rsidP="00B87598">
      <w:pPr>
        <w:pStyle w:val="a3"/>
        <w:spacing w:line="360" w:lineRule="auto"/>
        <w:rPr>
          <w:rFonts w:ascii="宋体" w:hAnsi="宋体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</w:rPr>
        <w:t xml:space="preserve"> </w:t>
      </w:r>
    </w:p>
    <w:p w:rsidR="00B87598" w:rsidRDefault="00B87598" w:rsidP="00B87598">
      <w:pPr>
        <w:ind w:firstLineChars="100" w:firstLine="28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BB0DE3" w:rsidRPr="00B87598" w:rsidRDefault="00BB0DE3"/>
    <w:sectPr w:rsidR="00BB0DE3" w:rsidRPr="00B87598" w:rsidSect="00BB0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7598"/>
    <w:rsid w:val="00B87598"/>
    <w:rsid w:val="00BB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9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87598"/>
    <w:pPr>
      <w:snapToGrid w:val="0"/>
      <w:jc w:val="left"/>
    </w:pPr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87598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8759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8759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2</cp:revision>
  <dcterms:created xsi:type="dcterms:W3CDTF">2023-05-29T02:19:00Z</dcterms:created>
  <dcterms:modified xsi:type="dcterms:W3CDTF">2023-05-29T02:19:00Z</dcterms:modified>
</cp:coreProperties>
</file>