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2E" w:rsidRDefault="0013472E" w:rsidP="008735E4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中共奈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曼旗桥河国有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母树林场支部委员会</w:t>
      </w:r>
      <w:r w:rsidR="008B4914">
        <w:rPr>
          <w:rFonts w:ascii="黑体" w:eastAsia="黑体" w:hAnsi="黑体" w:cs="黑体" w:hint="eastAsia"/>
          <w:sz w:val="44"/>
          <w:szCs w:val="44"/>
        </w:rPr>
        <w:t>2023</w:t>
      </w:r>
      <w:r w:rsidR="008B4914">
        <w:rPr>
          <w:rFonts w:ascii="黑体" w:eastAsia="黑体" w:hAnsi="黑体" w:cs="黑体" w:hint="eastAsia"/>
          <w:sz w:val="44"/>
          <w:szCs w:val="44"/>
        </w:rPr>
        <w:t>年党风廉政建设和反腐败工作</w:t>
      </w:r>
    </w:p>
    <w:p w:rsidR="009A783E" w:rsidRDefault="008B4914" w:rsidP="008735E4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分工方案</w:t>
      </w:r>
    </w:p>
    <w:p w:rsidR="009A783E" w:rsidRDefault="009A783E" w:rsidP="008735E4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A783E" w:rsidRDefault="008B4914" w:rsidP="008735E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年是贯彻党的二十大精神的开局之年，</w:t>
      </w:r>
      <w:r w:rsidR="0013472E">
        <w:rPr>
          <w:rFonts w:ascii="仿宋" w:eastAsia="仿宋" w:hAnsi="仿宋" w:cs="仿宋" w:hint="eastAsia"/>
          <w:sz w:val="32"/>
          <w:szCs w:val="32"/>
        </w:rPr>
        <w:t>奈</w:t>
      </w:r>
      <w:proofErr w:type="gramStart"/>
      <w:r w:rsidR="0013472E">
        <w:rPr>
          <w:rFonts w:ascii="仿宋" w:eastAsia="仿宋" w:hAnsi="仿宋" w:cs="仿宋" w:hint="eastAsia"/>
          <w:sz w:val="32"/>
          <w:szCs w:val="32"/>
        </w:rPr>
        <w:t>曼旗桥河国有</w:t>
      </w:r>
      <w:proofErr w:type="gramEnd"/>
      <w:r w:rsidR="0013472E">
        <w:rPr>
          <w:rFonts w:ascii="仿宋" w:eastAsia="仿宋" w:hAnsi="仿宋" w:cs="仿宋" w:hint="eastAsia"/>
          <w:sz w:val="32"/>
          <w:szCs w:val="32"/>
        </w:rPr>
        <w:t>母树林场党支部</w:t>
      </w:r>
      <w:r>
        <w:rPr>
          <w:rFonts w:ascii="仿宋" w:eastAsia="仿宋" w:hAnsi="仿宋" w:cs="仿宋" w:hint="eastAsia"/>
          <w:sz w:val="32"/>
          <w:szCs w:val="32"/>
        </w:rPr>
        <w:t>坚持以习近平新时代中国特色社会主义思想为指导，全面贯彻落实党的二十大精神，深入贯彻落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实习近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平总书记对内蒙古重要讲话重要指示批评精神，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按照旗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十三届纪委三次全会的部署要求，坚定捍卫“两个确立”、坚决做到“两个维护”，坚决贯彻坚定不移全面从严治党战略部署，认真落实健全全面从严治党体系任务要求，深入实施“党风廉政建设提升年”活动，深入开展党风廉政建设和反腐败斗争，坚定不移将反腐败斗争进行到底，全面履行主体责任，持之以恒正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纪，营造风清气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正政治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生态，推动全面从严治党工作取得新成效，扎实做好全</w:t>
      </w:r>
      <w:r w:rsidR="0013472E">
        <w:rPr>
          <w:rFonts w:ascii="仿宋" w:eastAsia="仿宋" w:hAnsi="仿宋" w:cs="仿宋" w:hint="eastAsia"/>
          <w:sz w:val="32"/>
          <w:szCs w:val="32"/>
        </w:rPr>
        <w:t>场</w:t>
      </w:r>
      <w:r>
        <w:rPr>
          <w:rFonts w:ascii="仿宋" w:eastAsia="仿宋" w:hAnsi="仿宋" w:cs="仿宋" w:hint="eastAsia"/>
          <w:sz w:val="32"/>
          <w:szCs w:val="32"/>
        </w:rPr>
        <w:t>党风廉政建设和反腐败工作，为建设生态奈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提供坚强保障。</w:t>
      </w:r>
    </w:p>
    <w:p w:rsidR="009A783E" w:rsidRPr="0013472E" w:rsidRDefault="008B4914" w:rsidP="008735E4">
      <w:pPr>
        <w:spacing w:line="560" w:lineRule="exact"/>
        <w:ind w:firstLineChars="250" w:firstLine="800"/>
        <w:jc w:val="left"/>
        <w:rPr>
          <w:rFonts w:ascii="黑体" w:eastAsia="黑体" w:hAnsi="黑体" w:cs="仿宋"/>
          <w:bCs/>
          <w:sz w:val="32"/>
          <w:szCs w:val="32"/>
        </w:rPr>
      </w:pPr>
      <w:r w:rsidRPr="0013472E">
        <w:rPr>
          <w:rFonts w:ascii="黑体" w:eastAsia="黑体" w:hAnsi="黑体" w:cs="仿宋" w:hint="eastAsia"/>
          <w:bCs/>
          <w:sz w:val="32"/>
          <w:szCs w:val="32"/>
        </w:rPr>
        <w:t>2023</w:t>
      </w:r>
      <w:r w:rsidRPr="0013472E">
        <w:rPr>
          <w:rFonts w:ascii="黑体" w:eastAsia="黑体" w:hAnsi="黑体" w:cs="仿宋" w:hint="eastAsia"/>
          <w:bCs/>
          <w:sz w:val="32"/>
          <w:szCs w:val="32"/>
        </w:rPr>
        <w:t>年主要工作任务</w:t>
      </w:r>
    </w:p>
    <w:p w:rsidR="009A783E" w:rsidRDefault="008B4914" w:rsidP="008735E4"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坚持以党的政治建设为统领，坚定不移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践行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“两个维护”。</w:t>
      </w:r>
    </w:p>
    <w:p w:rsidR="009A783E" w:rsidRDefault="008B4914" w:rsidP="008735E4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 w:rsidR="0013472E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坚持以习近平新时代中国特色社会主义思想凝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心铸魂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推进政治监督具体化、精准化、常态化，督促林草系统各级党组织和广大党员干部牢记“三个务必”、“两个永远在路上”，更加自觉增强“四个意识”、坚定“四个自信”、做到“两个维护”，切实拥护“两个确立”把贯彻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实习近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平总书记对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内蒙古重要讲话重要指示批示精神和内蒙古“五大任务”转化为捍卫“两个确立”的具体行动和生动实践。深化全面从严治党，聚焦政治监督首要任务，细化完善政治责任清单，开展“党风廉政建设提升年”活动，通过具体化明责知责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常态化履责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督责、精准化追责问责，推动管党</w:t>
      </w:r>
      <w:r>
        <w:rPr>
          <w:rFonts w:ascii="仿宋" w:eastAsia="仿宋" w:hAnsi="仿宋" w:cs="仿宋" w:hint="eastAsia"/>
          <w:sz w:val="32"/>
          <w:szCs w:val="32"/>
        </w:rPr>
        <w:t>治党主体责任、第一责任人责任、“一岗双责”、监督责任聚焦发力，坚决纠正政治意识淡化、党的领导弱化、党建工作虚化、责任落实软化等突出问题，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进一步织密纵向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到底、横向到边的管党治党责任体系。严明党的政治纪律和政治规矩，严肃党内政治生活，坚持把全面落实意识形态工作责任制、铸牢中华民族共同体意识列入工作重点，严查“七个有之”问题，坚决清除“两面人”、“两面派”，纯净党内政治生态。（责任领导：</w:t>
      </w:r>
      <w:r w:rsidR="00C45E8B">
        <w:rPr>
          <w:rFonts w:ascii="仿宋" w:eastAsia="仿宋" w:hAnsi="仿宋" w:cs="仿宋" w:hint="eastAsia"/>
          <w:sz w:val="32"/>
          <w:szCs w:val="32"/>
        </w:rPr>
        <w:t>林场领导班子全体成员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9A783E" w:rsidRDefault="008B4914" w:rsidP="008735E4"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坚持以零容忍态度惩治腐败，持续深化不想腐、不敢腐、不能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腐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一体推进。</w:t>
      </w:r>
      <w:r>
        <w:rPr>
          <w:rFonts w:ascii="仿宋" w:eastAsia="仿宋" w:hAnsi="仿宋" w:cs="仿宋" w:hint="eastAsia"/>
          <w:sz w:val="32"/>
          <w:szCs w:val="32"/>
        </w:rPr>
        <w:t>坚决贯彻落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实习近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平总书记“两个零容忍”</w:t>
      </w:r>
      <w:r>
        <w:rPr>
          <w:rFonts w:ascii="仿宋" w:eastAsia="仿宋" w:hAnsi="仿宋" w:cs="仿宋" w:hint="eastAsia"/>
          <w:sz w:val="32"/>
          <w:szCs w:val="32"/>
        </w:rPr>
        <w:t>要求，坚持“三不”一体理念贯穿始终，坚决防范和查处“七个有之”问题。深化以案促改、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以案促治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以案促建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，通过召开专题</w:t>
      </w:r>
      <w:r w:rsidR="00C45E8B">
        <w:rPr>
          <w:rFonts w:ascii="仿宋" w:eastAsia="仿宋" w:hAnsi="仿宋" w:cs="仿宋" w:hint="eastAsia"/>
          <w:sz w:val="32"/>
          <w:szCs w:val="32"/>
        </w:rPr>
        <w:t>组织</w:t>
      </w:r>
      <w:r>
        <w:rPr>
          <w:rFonts w:ascii="仿宋" w:eastAsia="仿宋" w:hAnsi="仿宋" w:cs="仿宋" w:hint="eastAsia"/>
          <w:sz w:val="32"/>
          <w:szCs w:val="32"/>
        </w:rPr>
        <w:t>生活会，开展警示教育，持续修复净化政治生态。精准运用“四种形态”，把“咬耳扯袖、红脸出汗”作为经常性手段，加强纪律教育，狠抓纪律作风和“四风”问题的检查，加强“八小时”外的行为监督，引导党员干部把党章党规党纪刻印心上，化作行动，真正做到知敬畏、存戒惧、守底线。坚持关口前移、抓早抓小、动辄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，通过定期检查和不定期检查相结合的办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法强化纪律执行，发现苗头性、倾向性问题及时谈话提醒、诫勉批评，坚决</w:t>
      </w:r>
      <w:r>
        <w:rPr>
          <w:rFonts w:ascii="仿宋" w:eastAsia="仿宋" w:hAnsi="仿宋" w:cs="仿宋" w:hint="eastAsia"/>
          <w:sz w:val="32"/>
          <w:szCs w:val="32"/>
        </w:rPr>
        <w:t>防止严重违纪行为发生。深入推进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廉洁文化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建设，旗帜鲜明抵制和反对关系学、官场术、“潜规则”等庸俗腐朽的政治文化，对重要岗位工作人员</w:t>
      </w:r>
      <w:r w:rsidR="00C45E8B">
        <w:rPr>
          <w:rFonts w:ascii="仿宋" w:eastAsia="仿宋" w:hAnsi="仿宋" w:cs="仿宋" w:hint="eastAsia"/>
          <w:sz w:val="32"/>
          <w:szCs w:val="32"/>
        </w:rPr>
        <w:t>、新招</w:t>
      </w:r>
      <w:proofErr w:type="gramStart"/>
      <w:r w:rsidR="00C45E8B">
        <w:rPr>
          <w:rFonts w:ascii="仿宋" w:eastAsia="仿宋" w:hAnsi="仿宋" w:cs="仿宋" w:hint="eastAsia"/>
          <w:sz w:val="32"/>
          <w:szCs w:val="32"/>
        </w:rPr>
        <w:t>录人员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开展廉政教育。做好“清风干部”、“清风标兵”选树宣传工作，激励干部弘扬正气、担当作为、干事创业。（责任领导：</w:t>
      </w:r>
      <w:r w:rsidR="00C45E8B">
        <w:rPr>
          <w:rFonts w:ascii="仿宋" w:eastAsia="仿宋" w:hAnsi="仿宋" w:cs="仿宋" w:hint="eastAsia"/>
          <w:sz w:val="32"/>
          <w:szCs w:val="32"/>
        </w:rPr>
        <w:t>林场领导班子全体成员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9A783E" w:rsidRDefault="008B4914" w:rsidP="008735E4"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坚持发扬钉钉子精神加强作风建设，持续转变机关工作作风。</w:t>
      </w:r>
      <w:r>
        <w:rPr>
          <w:rFonts w:ascii="仿宋" w:eastAsia="仿宋" w:hAnsi="仿宋" w:cs="仿宋" w:hint="eastAsia"/>
          <w:sz w:val="32"/>
          <w:szCs w:val="32"/>
        </w:rPr>
        <w:t>牢固树立“作风建设永远在路上”思想，坚持不懈、久久为功，以抓铁有痕的决心持续加固中央八项规定堤坝。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按照旗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纪委监委开展“作风建设监督年”活动要求，深刻把握“四风”问题的顽固性、反复性、隐蔽</w:t>
      </w:r>
      <w:r>
        <w:rPr>
          <w:rFonts w:ascii="仿宋" w:eastAsia="仿宋" w:hAnsi="仿宋" w:cs="仿宋" w:hint="eastAsia"/>
          <w:sz w:val="32"/>
          <w:szCs w:val="32"/>
        </w:rPr>
        <w:t>性，深入分析</w:t>
      </w:r>
      <w:r w:rsidR="00C45E8B">
        <w:rPr>
          <w:rFonts w:ascii="仿宋" w:eastAsia="仿宋" w:hAnsi="仿宋" w:cs="仿宋" w:hint="eastAsia"/>
          <w:sz w:val="32"/>
          <w:szCs w:val="32"/>
        </w:rPr>
        <w:t>林场</w:t>
      </w:r>
      <w:r>
        <w:rPr>
          <w:rFonts w:ascii="仿宋" w:eastAsia="仿宋" w:hAnsi="仿宋" w:cs="仿宋" w:hint="eastAsia"/>
          <w:sz w:val="32"/>
          <w:szCs w:val="32"/>
        </w:rPr>
        <w:t>行业作风建设存在的问题，精准画像、精准施治，推进作风建设常态化长效化。持续优化营商环境，建立党员示范岗，切实搞好“窗口服务”，坚决杜绝“门难进、脸难看、事难办”和“吃、拿、卡、要”现象发生，打通服务群众“最后一公里”通道。完善</w:t>
      </w:r>
      <w:r w:rsidR="00C45E8B">
        <w:rPr>
          <w:rFonts w:ascii="仿宋" w:eastAsia="仿宋" w:hAnsi="仿宋" w:cs="仿宋" w:hint="eastAsia"/>
          <w:sz w:val="32"/>
          <w:szCs w:val="32"/>
        </w:rPr>
        <w:t>林场</w:t>
      </w:r>
      <w:r>
        <w:rPr>
          <w:rFonts w:ascii="仿宋" w:eastAsia="仿宋" w:hAnsi="仿宋" w:cs="仿宋" w:hint="eastAsia"/>
          <w:sz w:val="32"/>
          <w:szCs w:val="32"/>
        </w:rPr>
        <w:t>各项管理制度，加强日常监督检查，重点整治迟到早退、无故离岗、担当意识不强、工作效率低下、脱离基层、不深入实际等问题，加大通报曝光和问责力度，做深做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细谈话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提醒和情况处置，开展经常性党员干部警示教育，切实推动</w:t>
      </w:r>
      <w:r w:rsidR="008735E4">
        <w:rPr>
          <w:rFonts w:ascii="仿宋" w:eastAsia="仿宋" w:hAnsi="仿宋" w:cs="仿宋" w:hint="eastAsia"/>
          <w:sz w:val="32"/>
          <w:szCs w:val="32"/>
        </w:rPr>
        <w:t>林场</w:t>
      </w:r>
      <w:r>
        <w:rPr>
          <w:rFonts w:ascii="仿宋" w:eastAsia="仿宋" w:hAnsi="仿宋" w:cs="仿宋" w:hint="eastAsia"/>
          <w:sz w:val="32"/>
          <w:szCs w:val="32"/>
        </w:rPr>
        <w:t>机关作风转变和工作效能提高。做好“三务”公开的发布工作，提</w:t>
      </w:r>
      <w:r>
        <w:rPr>
          <w:rFonts w:ascii="仿宋" w:eastAsia="仿宋" w:hAnsi="仿宋" w:cs="仿宋" w:hint="eastAsia"/>
          <w:sz w:val="32"/>
          <w:szCs w:val="32"/>
        </w:rPr>
        <w:t>高群众知晓率、参与率、满意率。（责任领导：</w:t>
      </w:r>
      <w:r w:rsidR="008735E4">
        <w:rPr>
          <w:rFonts w:ascii="仿宋" w:eastAsia="仿宋" w:hAnsi="仿宋" w:cs="仿宋" w:hint="eastAsia"/>
          <w:sz w:val="32"/>
          <w:szCs w:val="32"/>
        </w:rPr>
        <w:t>林场领导班子全体成员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9A783E" w:rsidRDefault="008B4914" w:rsidP="008735E4"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坚持主动接受监督，积极配合</w:t>
      </w:r>
      <w:bookmarkStart w:id="0" w:name="_GoBack"/>
      <w:bookmarkEnd w:id="0"/>
      <w:r w:rsidR="008735E4">
        <w:rPr>
          <w:rFonts w:ascii="仿宋" w:eastAsia="仿宋" w:hAnsi="仿宋" w:cs="仿宋" w:hint="eastAsia"/>
          <w:b/>
          <w:bCs/>
          <w:sz w:val="32"/>
          <w:szCs w:val="32"/>
        </w:rPr>
        <w:t>旗林草系统党委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监督工作的制度化安排</w:t>
      </w:r>
      <w:r w:rsidR="008735E4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  <w:r w:rsidR="008735E4">
        <w:rPr>
          <w:rFonts w:ascii="仿宋" w:eastAsia="仿宋" w:hAnsi="仿宋" w:cs="仿宋" w:hint="eastAsia"/>
          <w:sz w:val="32"/>
          <w:szCs w:val="32"/>
        </w:rPr>
        <w:t>林场</w:t>
      </w:r>
      <w:r>
        <w:rPr>
          <w:rFonts w:ascii="仿宋" w:eastAsia="仿宋" w:hAnsi="仿宋" w:cs="仿宋" w:hint="eastAsia"/>
          <w:sz w:val="32"/>
          <w:szCs w:val="32"/>
        </w:rPr>
        <w:t>每半年对履行主体责任情况进行一次自查总结，上报林草局党组。通过个人事项报告、述职述廉、谈心谈话等措施，全方位接受党内监督和干部职工的监督。（责任领导：</w:t>
      </w:r>
      <w:r w:rsidR="008735E4">
        <w:rPr>
          <w:rFonts w:ascii="仿宋" w:eastAsia="仿宋" w:hAnsi="仿宋" w:cs="仿宋" w:hint="eastAsia"/>
          <w:sz w:val="32"/>
          <w:szCs w:val="32"/>
        </w:rPr>
        <w:t>刘玉军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9A783E" w:rsidRPr="00C55DF4" w:rsidRDefault="008B4914" w:rsidP="008735E4"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开展经常性警示教育。</w:t>
      </w:r>
      <w:r w:rsidR="00C55DF4" w:rsidRPr="00C55DF4">
        <w:rPr>
          <w:rFonts w:ascii="仿宋" w:eastAsia="仿宋" w:hAnsi="仿宋" w:cs="仿宋" w:hint="eastAsia"/>
          <w:bCs/>
          <w:sz w:val="32"/>
          <w:szCs w:val="32"/>
        </w:rPr>
        <w:t>剖析</w:t>
      </w:r>
      <w:r w:rsidR="00C55DF4">
        <w:rPr>
          <w:rFonts w:ascii="仿宋" w:eastAsia="仿宋" w:hAnsi="仿宋" w:cs="仿宋" w:hint="eastAsia"/>
          <w:bCs/>
          <w:sz w:val="32"/>
          <w:szCs w:val="32"/>
        </w:rPr>
        <w:t>典型违纪违法案例，以反面典型案例为镜鉴，</w:t>
      </w:r>
      <w:proofErr w:type="gramStart"/>
      <w:r w:rsidR="00C55DF4">
        <w:rPr>
          <w:rFonts w:ascii="仿宋" w:eastAsia="仿宋" w:hAnsi="仿宋" w:cs="仿宋" w:hint="eastAsia"/>
          <w:bCs/>
          <w:sz w:val="32"/>
          <w:szCs w:val="32"/>
        </w:rPr>
        <w:t>以案明纪</w:t>
      </w:r>
      <w:proofErr w:type="gramEnd"/>
      <w:r w:rsidR="00C55DF4">
        <w:rPr>
          <w:rFonts w:ascii="仿宋" w:eastAsia="仿宋" w:hAnsi="仿宋" w:cs="仿宋" w:hint="eastAsia"/>
          <w:bCs/>
          <w:sz w:val="32"/>
          <w:szCs w:val="32"/>
        </w:rPr>
        <w:t>、以案说法，教育引导党员干部深挖思想问题、深刻吸取教训，时刻做到心存敬畏戒惧、不碰底线红线。年内开展警示教育不少于3次。（责任领导：刘玉军）</w:t>
      </w:r>
    </w:p>
    <w:p w:rsidR="00C55DF4" w:rsidRPr="00672581" w:rsidRDefault="00C55DF4" w:rsidP="008735E4"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C55DF4">
        <w:rPr>
          <w:rFonts w:ascii="仿宋" w:eastAsia="仿宋" w:hAnsi="仿宋" w:cs="仿宋" w:hint="eastAsia"/>
          <w:b/>
          <w:bCs/>
          <w:sz w:val="32"/>
          <w:szCs w:val="32"/>
        </w:rPr>
        <w:t>严格落实中央八项规定精神。</w:t>
      </w:r>
      <w:r>
        <w:rPr>
          <w:rFonts w:ascii="仿宋" w:eastAsia="仿宋" w:hAnsi="仿宋" w:cs="仿宋" w:hint="eastAsia"/>
          <w:bCs/>
          <w:sz w:val="32"/>
          <w:szCs w:val="32"/>
        </w:rPr>
        <w:t>紧盯五一、端午、中秋、十一、元旦、春节等重要时间节点。党支部坚决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扛稳主体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责任，压实领导责任。重点抓好中央八项</w:t>
      </w:r>
      <w:r w:rsidR="00672581">
        <w:rPr>
          <w:rFonts w:ascii="仿宋" w:eastAsia="仿宋" w:hAnsi="仿宋" w:cs="仿宋" w:hint="eastAsia"/>
          <w:bCs/>
          <w:sz w:val="32"/>
          <w:szCs w:val="32"/>
        </w:rPr>
        <w:t>规定精神和各级配套规定落实。坚决防止节假日期间四风问题反弹回潮。林场广大党员干部，要切实锤炼党性修养、增强纪律规矩意识，带头不请不聚、不收不送自觉做到“十严禁”。</w:t>
      </w:r>
    </w:p>
    <w:p w:rsidR="00672581" w:rsidRDefault="00672581" w:rsidP="008735E4">
      <w:pPr>
        <w:spacing w:line="560" w:lineRule="exact"/>
        <w:ind w:left="840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672581" w:rsidRDefault="00672581" w:rsidP="008735E4">
      <w:pPr>
        <w:spacing w:line="560" w:lineRule="exact"/>
        <w:ind w:leftChars="400" w:left="1960" w:hangingChars="350" w:hanging="1120"/>
        <w:jc w:val="left"/>
        <w:rPr>
          <w:rFonts w:ascii="仿宋" w:eastAsia="仿宋" w:hAnsi="仿宋" w:cs="仿宋"/>
          <w:bCs/>
          <w:sz w:val="32"/>
          <w:szCs w:val="32"/>
        </w:rPr>
      </w:pPr>
      <w:r w:rsidRPr="00672581">
        <w:rPr>
          <w:rFonts w:ascii="仿宋" w:eastAsia="仿宋" w:hAnsi="仿宋" w:cs="仿宋" w:hint="eastAsia"/>
          <w:bCs/>
          <w:sz w:val="32"/>
          <w:szCs w:val="32"/>
        </w:rPr>
        <w:t>附件：</w:t>
      </w:r>
      <w:r>
        <w:rPr>
          <w:rFonts w:ascii="仿宋" w:eastAsia="仿宋" w:hAnsi="仿宋" w:cs="仿宋" w:hint="eastAsia"/>
          <w:bCs/>
          <w:sz w:val="32"/>
          <w:szCs w:val="32"/>
        </w:rPr>
        <w:t>中共奈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曼旗桥河国有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母树林场支部委员会党风廉政建设和反腐败工作领导小组名单</w:t>
      </w:r>
    </w:p>
    <w:p w:rsidR="008735E4" w:rsidRDefault="008735E4" w:rsidP="008735E4">
      <w:pPr>
        <w:spacing w:line="560" w:lineRule="exact"/>
        <w:ind w:leftChars="400" w:left="1960" w:hangingChars="350" w:hanging="112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8735E4" w:rsidRDefault="008735E4" w:rsidP="008735E4">
      <w:pPr>
        <w:spacing w:line="560" w:lineRule="exact"/>
        <w:ind w:leftChars="400" w:left="1960" w:hangingChars="350" w:hanging="112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8735E4" w:rsidRDefault="008735E4" w:rsidP="008735E4">
      <w:pPr>
        <w:spacing w:line="560" w:lineRule="exact"/>
        <w:ind w:leftChars="400" w:left="1960" w:hangingChars="350" w:hanging="112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8735E4" w:rsidRDefault="008735E4" w:rsidP="008735E4">
      <w:pPr>
        <w:spacing w:line="560" w:lineRule="exact"/>
        <w:ind w:leftChars="400" w:left="1960" w:hangingChars="350" w:hanging="112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8735E4" w:rsidRDefault="008735E4" w:rsidP="008735E4">
      <w:pPr>
        <w:spacing w:line="560" w:lineRule="exact"/>
        <w:ind w:leftChars="400" w:left="1960" w:hangingChars="350" w:hanging="112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8735E4" w:rsidRDefault="008735E4" w:rsidP="008735E4">
      <w:pPr>
        <w:jc w:val="center"/>
        <w:rPr>
          <w:rFonts w:ascii="黑体" w:eastAsia="黑体" w:hAnsi="黑体"/>
          <w:sz w:val="44"/>
          <w:szCs w:val="44"/>
        </w:rPr>
      </w:pPr>
      <w:r w:rsidRPr="008735E4">
        <w:rPr>
          <w:rFonts w:ascii="黑体" w:eastAsia="黑体" w:hAnsi="黑体" w:cs="黑体" w:hint="eastAsia"/>
          <w:sz w:val="44"/>
          <w:szCs w:val="44"/>
        </w:rPr>
        <w:lastRenderedPageBreak/>
        <w:t>中共奈</w:t>
      </w:r>
      <w:proofErr w:type="gramStart"/>
      <w:r w:rsidRPr="008735E4">
        <w:rPr>
          <w:rFonts w:ascii="黑体" w:eastAsia="黑体" w:hAnsi="黑体" w:cs="黑体" w:hint="eastAsia"/>
          <w:sz w:val="44"/>
          <w:szCs w:val="44"/>
        </w:rPr>
        <w:t>曼旗桥河国有</w:t>
      </w:r>
      <w:proofErr w:type="gramEnd"/>
      <w:r w:rsidRPr="008735E4">
        <w:rPr>
          <w:rFonts w:ascii="黑体" w:eastAsia="黑体" w:hAnsi="黑体" w:cs="黑体" w:hint="eastAsia"/>
          <w:sz w:val="44"/>
          <w:szCs w:val="44"/>
        </w:rPr>
        <w:t>母树林场支部委员会</w:t>
      </w:r>
      <w:r w:rsidRPr="008735E4">
        <w:rPr>
          <w:rFonts w:ascii="黑体" w:eastAsia="黑体" w:hAnsi="黑体" w:hint="eastAsia"/>
          <w:sz w:val="44"/>
          <w:szCs w:val="44"/>
        </w:rPr>
        <w:t>2023年度党风廉政建设和反腐败工作</w:t>
      </w:r>
    </w:p>
    <w:p w:rsidR="008735E4" w:rsidRPr="008735E4" w:rsidRDefault="008735E4" w:rsidP="008735E4">
      <w:pPr>
        <w:jc w:val="center"/>
        <w:rPr>
          <w:rFonts w:ascii="黑体" w:eastAsia="黑体" w:hAnsi="黑体"/>
          <w:sz w:val="44"/>
          <w:szCs w:val="44"/>
        </w:rPr>
      </w:pPr>
      <w:r w:rsidRPr="008735E4">
        <w:rPr>
          <w:rFonts w:ascii="黑体" w:eastAsia="黑体" w:hAnsi="黑体" w:hint="eastAsia"/>
          <w:sz w:val="44"/>
          <w:szCs w:val="44"/>
        </w:rPr>
        <w:t>领导小组</w:t>
      </w:r>
    </w:p>
    <w:p w:rsidR="008735E4" w:rsidRDefault="008735E4" w:rsidP="008735E4">
      <w:pPr>
        <w:spacing w:line="560" w:lineRule="exact"/>
        <w:ind w:firstLineChars="200" w:firstLine="883"/>
        <w:rPr>
          <w:rFonts w:ascii="黑体" w:eastAsia="黑体" w:hAnsi="黑体"/>
          <w:b/>
          <w:sz w:val="44"/>
          <w:szCs w:val="44"/>
        </w:rPr>
      </w:pPr>
    </w:p>
    <w:p w:rsidR="008735E4" w:rsidRDefault="008735E4" w:rsidP="008735E4">
      <w:pPr>
        <w:spacing w:line="560" w:lineRule="exact"/>
        <w:rPr>
          <w:rFonts w:eastAsia="仿宋_GB2312"/>
          <w:sz w:val="32"/>
          <w:szCs w:val="32"/>
        </w:rPr>
      </w:pPr>
      <w:r w:rsidRPr="00550CDB">
        <w:rPr>
          <w:rFonts w:eastAsia="仿宋_GB2312" w:hint="eastAsia"/>
          <w:b/>
          <w:sz w:val="32"/>
          <w:szCs w:val="32"/>
        </w:rPr>
        <w:t>组</w:t>
      </w:r>
      <w:r w:rsidRPr="00550CDB">
        <w:rPr>
          <w:rFonts w:eastAsia="仿宋_GB2312" w:hint="eastAsia"/>
          <w:b/>
          <w:sz w:val="32"/>
          <w:szCs w:val="32"/>
        </w:rPr>
        <w:t xml:space="preserve">  </w:t>
      </w:r>
      <w:r w:rsidRPr="00550CDB">
        <w:rPr>
          <w:rFonts w:eastAsia="仿宋_GB2312" w:hint="eastAsia"/>
          <w:b/>
          <w:sz w:val="32"/>
          <w:szCs w:val="32"/>
        </w:rPr>
        <w:t>长</w:t>
      </w:r>
      <w:r>
        <w:rPr>
          <w:rFonts w:eastAsia="仿宋_GB2312" w:hint="eastAsia"/>
          <w:sz w:val="32"/>
          <w:szCs w:val="32"/>
        </w:rPr>
        <w:t>：刘玉军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党支部书记、场长</w:t>
      </w:r>
    </w:p>
    <w:p w:rsidR="008735E4" w:rsidRDefault="008735E4" w:rsidP="008735E4">
      <w:pPr>
        <w:spacing w:line="560" w:lineRule="exact"/>
        <w:rPr>
          <w:rFonts w:eastAsia="仿宋_GB2312"/>
          <w:sz w:val="32"/>
          <w:szCs w:val="32"/>
        </w:rPr>
      </w:pPr>
      <w:r w:rsidRPr="00550CDB">
        <w:rPr>
          <w:rFonts w:eastAsia="仿宋_GB2312" w:hint="eastAsia"/>
          <w:b/>
          <w:sz w:val="32"/>
          <w:szCs w:val="32"/>
        </w:rPr>
        <w:t>副组长</w:t>
      </w:r>
      <w:r>
        <w:rPr>
          <w:rFonts w:eastAsia="仿宋_GB2312" w:hint="eastAsia"/>
          <w:sz w:val="32"/>
          <w:szCs w:val="32"/>
        </w:rPr>
        <w:t>：时宝柱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党支部成员、副场长</w:t>
      </w:r>
    </w:p>
    <w:p w:rsidR="008735E4" w:rsidRDefault="008735E4" w:rsidP="008735E4">
      <w:pPr>
        <w:spacing w:line="56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郑秀玲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党支部成员、副场长</w:t>
      </w:r>
    </w:p>
    <w:p w:rsidR="008735E4" w:rsidRDefault="008735E4" w:rsidP="008735E4">
      <w:pPr>
        <w:spacing w:line="560" w:lineRule="exact"/>
        <w:rPr>
          <w:rFonts w:eastAsia="仿宋_GB2312"/>
          <w:sz w:val="32"/>
          <w:szCs w:val="32"/>
        </w:rPr>
      </w:pPr>
      <w:r w:rsidRPr="00550CDB">
        <w:rPr>
          <w:rFonts w:eastAsia="仿宋_GB2312" w:hint="eastAsia"/>
          <w:b/>
          <w:sz w:val="32"/>
          <w:szCs w:val="32"/>
        </w:rPr>
        <w:t>成</w:t>
      </w:r>
      <w:r w:rsidRPr="00550CDB">
        <w:rPr>
          <w:rFonts w:eastAsia="仿宋_GB2312" w:hint="eastAsia"/>
          <w:b/>
          <w:sz w:val="32"/>
          <w:szCs w:val="32"/>
        </w:rPr>
        <w:t xml:space="preserve">  </w:t>
      </w:r>
      <w:r w:rsidRPr="00550CDB">
        <w:rPr>
          <w:rFonts w:eastAsia="仿宋_GB2312" w:hint="eastAsia"/>
          <w:b/>
          <w:sz w:val="32"/>
          <w:szCs w:val="32"/>
        </w:rPr>
        <w:t>员</w:t>
      </w:r>
      <w:r>
        <w:rPr>
          <w:rFonts w:eastAsia="仿宋_GB2312" w:hint="eastAsia"/>
          <w:sz w:val="32"/>
          <w:szCs w:val="32"/>
        </w:rPr>
        <w:t>：王明智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技术员</w:t>
      </w:r>
    </w:p>
    <w:p w:rsidR="008735E4" w:rsidRDefault="008735E4" w:rsidP="008735E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</w:t>
      </w:r>
      <w:r>
        <w:rPr>
          <w:rFonts w:eastAsia="仿宋_GB2312" w:hint="eastAsia"/>
          <w:sz w:val="32"/>
          <w:szCs w:val="32"/>
        </w:rPr>
        <w:t>陈嘉珲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会计</w:t>
      </w:r>
    </w:p>
    <w:p w:rsidR="008735E4" w:rsidRDefault="008735E4" w:rsidP="008735E4">
      <w:pPr>
        <w:spacing w:line="56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王倩颖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技术员</w:t>
      </w:r>
    </w:p>
    <w:p w:rsidR="008735E4" w:rsidRPr="008735E4" w:rsidRDefault="008735E4" w:rsidP="008735E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</w:t>
      </w:r>
      <w:proofErr w:type="gramStart"/>
      <w:r>
        <w:rPr>
          <w:rFonts w:eastAsia="仿宋_GB2312" w:hint="eastAsia"/>
          <w:sz w:val="32"/>
          <w:szCs w:val="32"/>
        </w:rPr>
        <w:t>张兴春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技术员</w:t>
      </w:r>
    </w:p>
    <w:p w:rsidR="008735E4" w:rsidRPr="00550CDB" w:rsidRDefault="008735E4" w:rsidP="008735E4">
      <w:pPr>
        <w:spacing w:line="56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潘明飞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出纳</w:t>
      </w:r>
    </w:p>
    <w:p w:rsidR="008735E4" w:rsidRDefault="008735E4" w:rsidP="008735E4">
      <w:pPr>
        <w:spacing w:line="56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王若兰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政工</w:t>
      </w:r>
    </w:p>
    <w:p w:rsidR="008735E4" w:rsidRDefault="008735E4" w:rsidP="008735E4">
      <w:pPr>
        <w:spacing w:line="56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邓超楠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技术员</w:t>
      </w:r>
    </w:p>
    <w:p w:rsidR="008735E4" w:rsidRDefault="00E35372" w:rsidP="008735E4">
      <w:pPr>
        <w:spacing w:line="560" w:lineRule="exact"/>
        <w:ind w:leftChars="400" w:left="1960" w:hangingChars="350" w:hanging="112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徐利强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护林员</w:t>
      </w:r>
    </w:p>
    <w:p w:rsidR="00E35372" w:rsidRPr="008735E4" w:rsidRDefault="00E35372" w:rsidP="008735E4">
      <w:pPr>
        <w:spacing w:line="560" w:lineRule="exact"/>
        <w:ind w:leftChars="400" w:left="1960" w:hangingChars="350" w:hanging="112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王  波  护林员</w:t>
      </w:r>
    </w:p>
    <w:sectPr w:rsidR="00E35372" w:rsidRPr="00873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4E2A3"/>
    <w:multiLevelType w:val="singleLevel"/>
    <w:tmpl w:val="5BD4E2A3"/>
    <w:lvl w:ilvl="0">
      <w:start w:val="1"/>
      <w:numFmt w:val="chineseCounting"/>
      <w:suff w:val="nothing"/>
      <w:lvlText w:val="第%1，"/>
      <w:lvlJc w:val="left"/>
      <w:pPr>
        <w:ind w:left="20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ODNkMWY1YzgwZWRmZDU0NDNhOGZmYjViZGRlOGQifQ=="/>
  </w:docVars>
  <w:rsids>
    <w:rsidRoot w:val="33AB0514"/>
    <w:rsid w:val="0013472E"/>
    <w:rsid w:val="00672581"/>
    <w:rsid w:val="006725F6"/>
    <w:rsid w:val="008735E4"/>
    <w:rsid w:val="008B4914"/>
    <w:rsid w:val="009A783E"/>
    <w:rsid w:val="00C45E8B"/>
    <w:rsid w:val="00C55DF4"/>
    <w:rsid w:val="00E35372"/>
    <w:rsid w:val="10E70E6A"/>
    <w:rsid w:val="33515897"/>
    <w:rsid w:val="33AB0514"/>
    <w:rsid w:val="3B1D12E5"/>
    <w:rsid w:val="44617A4A"/>
    <w:rsid w:val="5944487F"/>
    <w:rsid w:val="657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725F6"/>
    <w:rPr>
      <w:sz w:val="18"/>
      <w:szCs w:val="18"/>
    </w:rPr>
  </w:style>
  <w:style w:type="character" w:customStyle="1" w:styleId="Char">
    <w:name w:val="批注框文本 Char"/>
    <w:basedOn w:val="a0"/>
    <w:link w:val="a3"/>
    <w:rsid w:val="006725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725F6"/>
    <w:rPr>
      <w:sz w:val="18"/>
      <w:szCs w:val="18"/>
    </w:rPr>
  </w:style>
  <w:style w:type="character" w:customStyle="1" w:styleId="Char">
    <w:name w:val="批注框文本 Char"/>
    <w:basedOn w:val="a0"/>
    <w:link w:val="a3"/>
    <w:rsid w:val="006725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346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2023-07-01T03:43:00Z</cp:lastPrinted>
  <dcterms:created xsi:type="dcterms:W3CDTF">2023-06-30T07:23:00Z</dcterms:created>
  <dcterms:modified xsi:type="dcterms:W3CDTF">2023-07-01T07:27:00Z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207F8B477B214DCD92B945DAC798D192_11</vt:lpwstr>
  </property>
</Properties>
</file>