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关于印发《奈曼旗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2023年基层医保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服务站（点）建设实施方案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》的通知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各苏木乡镇人民政府，六号农场管委会，大沁他拉街道办事处：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为进一步加强医疗保障经办服务体系建设，推进医保经办服务下沉，全面提高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我旗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基层医疗保障经办服务能力，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现将《奈曼旗2023年基层医保服务站（点）建设实施方案》印发给你们，请结合实际抓好落实。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650" w:firstLineChars="1500"/>
        <w:jc w:val="both"/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奈曼旗人民政府办公室</w:t>
      </w:r>
    </w:p>
    <w:p>
      <w:pPr>
        <w:keepNext w:val="0"/>
        <w:keepLines w:val="0"/>
        <w:widowControl/>
        <w:suppressLineNumbers w:val="0"/>
        <w:ind w:firstLine="4960" w:firstLineChars="1600"/>
        <w:jc w:val="both"/>
        <w:rPr>
          <w:rFonts w:hint="default" w:ascii="仿宋" w:hAnsi="仿宋" w:eastAsia="仿宋" w:cs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2023年2月21日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default" w:ascii="仿宋" w:hAnsi="仿宋" w:eastAsia="仿宋" w:cs="仿宋"/>
          <w:color w:val="000000"/>
          <w:sz w:val="31"/>
          <w:szCs w:val="3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奈曼旗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2023年基层医保服务站（点）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建设实施方案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按照《内蒙古自治区2023年基层医保服务站（点）建设实施方案》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内医保发〔2023〕3号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文件及《通辽市2023年基层医保服务站（点）建设实施方案》通医保办发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〔2023〕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13号文件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，为进一步加强医疗保障经办服务体系建设，推进医保经办服务下沉，全面提高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我旗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基层医疗保障经办服务能力，现就我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基层医保服务站（点）建设工作制定如下实施方案。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ascii="CESI黑体-GB2312" w:hAnsi="CESI黑体-GB2312" w:eastAsia="CESI黑体-GB2312" w:cs="CESI黑体-GB2312"/>
          <w:color w:val="000000"/>
          <w:sz w:val="31"/>
          <w:szCs w:val="31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以习近平新时代中国特色社会主义思想为指导，全面贯彻落实党的二十大精神，坚持以人民为中心的发展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理念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，完善经办管理和公共服务体系，大力推进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医保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服务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事项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下沉，构建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市、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旗、苏木乡镇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、嘎查村（社区）医保经办服务一体化格局，打造“15分钟医保便民服务圈”，使参保群众就近享受优质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便捷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高效的医疗保障服务，持续提升人民群众的获得感、幸福感和安全感。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CESI黑体-GB2312" w:hAnsi="CESI黑体-GB2312" w:eastAsia="CESI黑体-GB2312" w:cs="CESI黑体-GB2312"/>
          <w:color w:val="000000"/>
          <w:sz w:val="31"/>
          <w:szCs w:val="31"/>
        </w:rPr>
        <w:t>二、基本原则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（一）便民利民</w:t>
      </w:r>
      <w:r>
        <w:rPr>
          <w:rFonts w:ascii="方正楷体_GBK" w:hAnsi="方正楷体_GBK" w:eastAsia="方正楷体_GBK" w:cs="方正楷体_GBK"/>
          <w:color w:val="000000"/>
          <w:sz w:val="31"/>
          <w:szCs w:val="31"/>
        </w:rPr>
        <w:t>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围绕群众所需、所盼、所想，积极推进医保经办服务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事项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下沉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到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、嘎查村（社区），畅通服务群众“最后一公里”。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（二）因地制宜。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按照方便务实的要求，依托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各级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党群服务中心、乡镇卫生院、村卫生室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银行网点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等，合理设置基层医保服务站（点）。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（三）标准规范。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统一建设标准，规范场所设置、人员配置、服务事项、管理运行等，实现基层医保服务站（点）规范化标准化。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CESI黑体-GB2312" w:hAnsi="CESI黑体-GB2312" w:eastAsia="CESI黑体-GB2312" w:cs="CESI黑体-GB2312"/>
          <w:color w:val="000000"/>
          <w:sz w:val="31"/>
          <w:szCs w:val="31"/>
        </w:rPr>
        <w:t>三、目标任务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在苏木乡镇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场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（街道）、嘎查村（社区）建设基层医保服务站（点），提高医保经办服务便捷度。2023年，按照“十到位”标准建设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个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苏木乡镇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基层医保服务站、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381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个嘎查村（社区）基层医保服务点，年底前实现苏木乡镇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场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（街道）全覆盖、嘎查村（社区）承办点覆盖率达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%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（附件1）。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CESI黑体-GB2312" w:hAnsi="CESI黑体-GB2312" w:eastAsia="CESI黑体-GB2312" w:cs="CESI黑体-GB2312"/>
          <w:color w:val="000000"/>
          <w:sz w:val="31"/>
          <w:szCs w:val="31"/>
        </w:rPr>
        <w:t>四、组织领导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为推进目标任务高效完成，成立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奈曼旗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基层医保服务站（点）建设工作领导小组。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组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长：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 xml:space="preserve">刘新宇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奈曼旗人民政府副旗长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副组长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李栋祥 奈曼旗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医疗保障局党组书记、局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长</w:t>
      </w:r>
      <w:r>
        <w:t> 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成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员：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朱云友 奈曼旗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医疗保障局党组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成员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、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副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局长</w:t>
      </w:r>
    </w:p>
    <w:p>
      <w:pPr>
        <w:pStyle w:val="2"/>
        <w:keepNext w:val="0"/>
        <w:keepLines w:val="0"/>
        <w:widowControl/>
        <w:suppressLineNumbers w:val="0"/>
        <w:ind w:firstLine="1860" w:firstLineChars="60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刘海燕 奈曼旗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医疗保障局党组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成员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、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副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局长</w:t>
      </w:r>
    </w:p>
    <w:p>
      <w:pPr>
        <w:pStyle w:val="2"/>
        <w:keepNext w:val="0"/>
        <w:keepLines w:val="0"/>
        <w:widowControl/>
        <w:suppressLineNumbers w:val="0"/>
        <w:ind w:firstLine="1860" w:firstLineChars="60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王国良 奈曼旗医疗保险服务中心主任</w:t>
      </w:r>
      <w:r>
        <w:t> 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各苏木乡镇场（街道）分管业务领导、奈曼旗医疗保障局班子成员及各股室负责人、医疗保险服务中心股室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负责人。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领导小组下设办公室，办公室设在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奈曼旗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医疗保险服务中心，办公室主任由医疗保险服务中心主任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王国良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同志担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兼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任。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/>
        <w:jc w:val="both"/>
        <w:rPr>
          <w:rFonts w:hint="default" w:ascii="CESI黑体-GB2312" w:hAnsi="CESI黑体-GB2312" w:eastAsia="CESI黑体-GB2312" w:cs="CESI黑体-GB2312"/>
          <w:color w:val="000000"/>
          <w:sz w:val="31"/>
          <w:szCs w:val="31"/>
        </w:rPr>
      </w:pPr>
      <w:r>
        <w:rPr>
          <w:rFonts w:hint="default" w:ascii="CESI黑体-GB2312" w:hAnsi="CESI黑体-GB2312" w:eastAsia="CESI黑体-GB2312" w:cs="CESI黑体-GB2312"/>
          <w:color w:val="000000"/>
          <w:sz w:val="31"/>
          <w:szCs w:val="31"/>
        </w:rPr>
        <w:t>工作举措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firstLine="321" w:firstLineChars="10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（一）统一规范建设标准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基层医保服务站（点）均按照“十到位”标准进行建设。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1.职能授权到位。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highlight w:val="none"/>
          <w:lang w:val="en-US" w:eastAsia="zh-CN"/>
        </w:rPr>
        <w:t>医保经办机构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严格按照《内蒙古自治区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帮办代办政务服务事项基础清单》《内蒙古自治区嘎查村（社区）帮办代办政务服务事项基础清单》《内蒙古自治区医疗保障政务服务经办事项清单》，授权委托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、嘎查村（社区）医保经办服务事项，明确责任，建立工作制度，确保业务承接顺畅。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2.服务场所到位。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、嘎查村（社区）基层医保服务站（点）至少设置１个医保服务窗口，并配置相关设备及便民设施。基础条件较好的地区可设置咨询引导、自助服务等。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3.服务标识到位。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基层医保服务站（点）统一挂牌“XX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基层医保服务站”、“XX嘎查村（社区）基层医保服务点”。按照《中国医疗保障官方标识使用管理办法（暂行）》规定，规范设立医保官方标识、“中国医保 一生守护”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服务口号和窗口服务标识等。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4.人员配备到位。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基层医保服务站（点）至少配备1-2名医保经办服务专兼职人员，负责医保政策宣传解答和业务办理。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5.业务培训到位。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医保经办机构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负责对基层医保服务站（点）专兼职人员进行培训，培训以医保政策和业务经办为主要内容，每年不少于两次。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</w:rPr>
        <w:t>6.操作手册配发到位。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医保经办机构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按照《内蒙古自治区医疗保障经办政务服务事项清单(2022版)》《内蒙古自治区医疗保障经办政务服务事项操作规范（2022第二版）》印制基层医保服务站（点）操作手册，并配发到位。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</w:rPr>
        <w:t>7.业务指导到位。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建立旗—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—嘎查村（社区）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级微信指导群，逐级进行业务指导，及时解决基层窗口服务中遇到的业务难题。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</w:rPr>
        <w:t>8.经办服务台账到位。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医保经办机构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应指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导基层医保服务站（点）对辖区参保群众分别建立参保缴费、业务办理、医疗费用手工报销等工作台帐，做到可追溯、可查验。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9.服务载体应用到位。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基层医保服务站（点）通过接入医保专线或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依托政务外网登陆内蒙古自治区医疗保障信息平台实现业务办理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10.经办业务公开到位。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基层医保服务站（点）对医保服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务事项清单及指南进行对外公示，包括经办业务名称、服务对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象、办理方式、办理流程、申办材料、办理时限、查询方式、监督电话等，同时要摆放医保宣传资料并及时更新。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（二）统一规范服务事项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医保经办机构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按照“能放必放、应放尽放”的原则，授权委托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苏木乡镇场（街道）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和嘎查村（社区）基层医保服务站（点）开展以下医保经办服务工作。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eastAsia="zh-CN"/>
        </w:rPr>
        <w:t>苏木乡镇场（街道）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基层医保服务站经办服务事项：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（1）单位参保登记；（2）职工参保登记；（3）城乡居民参保信息变更登记；（4）门诊费用报销；（5）住院费用报销；（6）产前检查费支付；（7）生育医疗费支付；（8）计划生育医疗费支付；（9）生育津贴支付；（10）医疗救助对象手工（零星）报销；（11）城乡居民参保登记；（12）参保单位参保信息查询；（13）参保人员参保信息查询；（14）异地安置退休人员备案；（15）异地长期居住人员备案；（16）常驻异地工作人员备案；（17）异地转诊人员备案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18）账户共济绑定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2.嘎查村（社区）基层医保服务点经办服务事项：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（1）城乡居民参保登记；（2）参保单位参保信息查询；（3）参保人员参保信息查询；（4）异地安置退休人员备案；（5）异地长期居住人员备案；（6）常驻异地工作人员备案；（7）异地转诊人员备案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结算信息查询、打印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CESI黑体-GB2312" w:hAnsi="CESI黑体-GB2312" w:eastAsia="CESI黑体-GB2312" w:cs="CESI黑体-GB2312"/>
          <w:color w:val="000000"/>
          <w:sz w:val="31"/>
          <w:szCs w:val="31"/>
        </w:rPr>
        <w:t>六、实施步骤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（一）动员部署（2月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底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前）。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旗医疗保障局要结合实际，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分解任务，压实责任，明确基层医保服务站（点）建设清单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附件2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，建立工作推进台账。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（二）统筹推进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  <w:lang w:val="en-US" w:eastAsia="zh-CN"/>
        </w:rPr>
        <w:t>底前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按照年度专项工作安排，第一季度完成年度任务的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0%，第二季度完成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0%，第三季度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月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底前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100%完成。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highlight w:val="none"/>
          <w:lang w:val="en-US" w:eastAsia="zh-CN"/>
        </w:rPr>
        <w:t>总体验收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中旬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1"/>
          <w:szCs w:val="31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旗医疗保障局于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9月中旬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对各基层医保服务站（点）建设情况进行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检查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，将建设工作完成情况上报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通辽市医疗保障局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CESI黑体-GB2312" w:hAnsi="CESI黑体-GB2312" w:eastAsia="CESI黑体-GB2312" w:cs="CESI黑体-GB2312"/>
          <w:color w:val="000000"/>
          <w:sz w:val="31"/>
          <w:szCs w:val="31"/>
        </w:rPr>
        <w:t>七、工作要求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（一）高度重视，迅速部署。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基层医保服务站（点）建设是自治区2023年《政府工作报告》重点工作任务，也是解决医保服务群众“最后一公里”的重要民生实事，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  <w:t>各苏木乡镇场（街道）和相关部门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要高度重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视，成立专班管理组织，研究工作方案，制定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具体举措，统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筹部署安排，加快工作推进，确保顺利完成任务。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（二）加强调度，做好台账。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highlight w:val="none"/>
          <w:lang w:val="en-US" w:eastAsia="zh-CN"/>
        </w:rPr>
        <w:t>旗医疗保障局要采取月调度、实地调研、随机抽检的方式，加强对各苏木乡镇场（街道）基层服务站（点）的建设情况进行调度督办，并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</w:rPr>
        <w:t>做实做细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台账管理，明确建设清单、责任领导、责任人和完成时限，加强日常督办，逐一销号落实。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（三）广泛宣传，树立典型。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我旗将通过多种形式宣传推广苏木乡镇场（街道）基层服务站（点）建设亮点和经验。在广泛开展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“15分钟医保便民服务圈”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宣传的同时，要注重打造样板、树立典型，好做法快速复制推广，同时积极总结经验及时形成工作信息进行上报。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附件：1.奈曼旗基层医保服务站（点）建设目标任务</w:t>
      </w:r>
    </w:p>
    <w:p>
      <w:pPr>
        <w:pStyle w:val="2"/>
        <w:keepNext w:val="0"/>
        <w:keepLines w:val="0"/>
        <w:widowControl/>
        <w:suppressLineNumbers w:val="0"/>
      </w:pPr>
      <w:r>
        <w:t>    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2.奈曼旗苏木乡镇场（街道）嘎查村（社区）清单</w:t>
      </w:r>
    </w:p>
    <w:p>
      <w:pPr>
        <w:pStyle w:val="2"/>
        <w:keepNext w:val="0"/>
        <w:keepLines w:val="0"/>
        <w:widowControl/>
        <w:suppressLineNumbers w:val="0"/>
      </w:pPr>
      <w:r>
        <w:t>    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EDE9D"/>
    <w:multiLevelType w:val="singleLevel"/>
    <w:tmpl w:val="F5EEDE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EyYzdjNTA0ZTM0ODk1ZGMyYWJkMmVhZjJkYWMifQ=="/>
  </w:docVars>
  <w:rsids>
    <w:rsidRoot w:val="4DF50FEC"/>
    <w:rsid w:val="04421E00"/>
    <w:rsid w:val="060B75A5"/>
    <w:rsid w:val="062953B1"/>
    <w:rsid w:val="0E751841"/>
    <w:rsid w:val="10FD170A"/>
    <w:rsid w:val="13D529D6"/>
    <w:rsid w:val="1C977F8B"/>
    <w:rsid w:val="1E2F6AB2"/>
    <w:rsid w:val="25D70F30"/>
    <w:rsid w:val="27361586"/>
    <w:rsid w:val="30565EBD"/>
    <w:rsid w:val="31917DBB"/>
    <w:rsid w:val="34CA4F44"/>
    <w:rsid w:val="38485013"/>
    <w:rsid w:val="3CE10F83"/>
    <w:rsid w:val="42E13B12"/>
    <w:rsid w:val="46A00372"/>
    <w:rsid w:val="46DF7A60"/>
    <w:rsid w:val="4AB636DB"/>
    <w:rsid w:val="4AE346E1"/>
    <w:rsid w:val="4B1F3BEC"/>
    <w:rsid w:val="4DB018A5"/>
    <w:rsid w:val="4DF50FEC"/>
    <w:rsid w:val="5B302435"/>
    <w:rsid w:val="5CD54234"/>
    <w:rsid w:val="5DC61446"/>
    <w:rsid w:val="5DEC6623"/>
    <w:rsid w:val="60D72452"/>
    <w:rsid w:val="621F5E7C"/>
    <w:rsid w:val="628674FD"/>
    <w:rsid w:val="62FD297C"/>
    <w:rsid w:val="74EF608F"/>
    <w:rsid w:val="75E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3081</Words>
  <Characters>3163</Characters>
  <Lines>0</Lines>
  <Paragraphs>0</Paragraphs>
  <TotalTime>29</TotalTime>
  <ScaleCrop>false</ScaleCrop>
  <LinksUpToDate>false</LinksUpToDate>
  <CharactersWithSpaces>3185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2023-02-17T00:36:00Z</dcterms:created>
  <dc:creator>暮春残月倚云轩</dc:creator>
  <cp:lastModifiedBy>0.0</cp:lastModifiedBy>
  <cp:lastPrinted>2023-02-21T03:43:00Z</cp:lastPrinted>
  <dcterms:modified xsi:type="dcterms:W3CDTF">2023-02-21T07:28:34Z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6B8DD0FD577B4737A5BFB3EDCE560244</vt:lpwstr>
  </property>
</Properties>
</file>