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民委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网信工作责任清单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一、网络意识形态工作责任制落实方面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组理论学习中心组每年学习网络安全和信息化工作内容(《习近平关于网络强国论述摘编》《党委(党组)网络意识形态工作责任制实施细则》《党委(党组)网络安全工作责任制实施办法》《内蒙古自治区网络意识形态阵地管理规定》等)不少于2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2.将网络意识形态工作纳入重要议事日程，作为党组会每年专题研究意识形态工作的重要内容，年底报送网络意识形态工作专题报告。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3.年内至少召开网络意识形态工作分析研判会1次,年底报送网络意识形态工作分析研判报告。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4.及时向上级党组织报告网络意识形态领域重大情况。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5.年内至少在党内以会议或文件形式通报网络意识形态领域工作情况1次。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.将网络意识形态工作检查考核纳入年度目标责任制考核。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.加强对本地区本部门本单位党员干部网络意识工作教育培训。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二、网络宣传和评论工作方面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.在属地网络传播平台开展习近平法治思想，《宪法》《网络安全法》《关键信息基础设施安全保护条例》《数据安全法》《个人信息保护法》等法律法规网上宣传。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.组织网评员按要求开展重要政策、重大主题、重大活动、重要会议网上评论引导工作，向旗委网信办报送网评文章6篇，每两月报送一篇。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.围绕“有高度的安全意识、有文明的网络素养、有守法的行为习惯、有必备的防护技能”中国好网民“四有”标准和“同心圆意识、责任担当意识、依法上网意识、文明上网意识、技能提升意识、网络安全意识”中国好网民“六种意识”等，在本地本系统内广泛开展争作北疆好网民优秀故事征集活动，并在做好宣传的同时向旗委网信办报送至少一篇优秀故事事迹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三、网络安全工作责任制落实方面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.通过正式文件或会议纪要形式明确本单位网络安全工作机构、责任人等，明确工作职责，纳入重要议事日程，年内至少召开一次相关会议研究部署工作。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.开展网络安全工作检查，及时整改网络安全检查中发现的漏洞隐患，并向旗委网信办报送网络安全检查工作报告。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.加强本部门单位网络安全信息汇集、分析研判工作，及时有效反馈网络安全风险通报整改情况。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.开展一次网络安全培训，开好国家网络安全宣传周相关工作。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.提交本年度网络安全工作报告。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四、舆情管控和内容管理工作方面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.严格执行属地媒体平台内容发布“三审”制度，坚决杜绝出现政治类有害信息。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.及时搜集、研判、处置辖区内可能引发群体事件和社会稳定风险的网络舆情，做好舆论引导和调控管控工作;配合处理网上问题。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.完成其他临时性工作。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1631103E"/>
    <w:rsid w:val="069114AA"/>
    <w:rsid w:val="1631103E"/>
    <w:rsid w:val="1C057E17"/>
    <w:rsid w:val="2EE8585B"/>
    <w:rsid w:val="37BD7ACF"/>
    <w:rsid w:val="57DC32D5"/>
    <w:rsid w:val="5D0F117E"/>
    <w:rsid w:val="6C633212"/>
    <w:rsid w:val="74820F33"/>
    <w:rsid w:val="775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1045</Characters>
  <Lines>0</Lines>
  <Paragraphs>0</Paragraphs>
  <TotalTime>59</TotalTime>
  <ScaleCrop>false</ScaleCrop>
  <LinksUpToDate>false</LinksUpToDate>
  <CharactersWithSpaces>1045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2023-06-20T06:21:00Z</dcterms:created>
  <dc:creator>阿如娜</dc:creator>
  <cp:lastModifiedBy>LX</cp:lastModifiedBy>
  <dcterms:modified xsi:type="dcterms:W3CDTF">2023-06-21T01:58:01Z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6C7E0ECA12D34C0B909F7FC068E3E464_13</vt:lpwstr>
  </property>
</Properties>
</file>