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spacing w:after="120" w:line="740" w:lineRule="exact"/>
        <w:jc w:val="center"/>
        <w:textAlignment w:val="auto"/>
        <w:rPr>
          <w:rFonts w:eastAsia="方正小标宋简体" w:cs="方正小标宋简体"/>
          <w:color w:val="000000"/>
          <w:kern w:val="0"/>
          <w:sz w:val="52"/>
          <w:szCs w:val="52"/>
        </w:rPr>
      </w:pPr>
      <w:r>
        <w:rPr>
          <w:rFonts w:hint="eastAsia" w:eastAsia="方正小标宋简体" w:cs="方正小标宋简体"/>
          <w:color w:val="000000"/>
          <w:kern w:val="0"/>
          <w:sz w:val="52"/>
          <w:szCs w:val="52"/>
        </w:rPr>
        <w:t>2022年行政事业单位</w:t>
      </w:r>
    </w:p>
    <w:p>
      <w:pPr>
        <w:pStyle w:val="5"/>
        <w:adjustRightInd/>
        <w:spacing w:after="120" w:line="740" w:lineRule="exact"/>
        <w:jc w:val="center"/>
        <w:textAlignment w:val="auto"/>
        <w:rPr>
          <w:rFonts w:eastAsia="方正小标宋简体" w:cs="方正小标宋简体"/>
          <w:color w:val="000000"/>
          <w:kern w:val="0"/>
          <w:sz w:val="52"/>
          <w:szCs w:val="52"/>
        </w:rPr>
      </w:pPr>
      <w:r>
        <w:rPr>
          <w:rFonts w:hint="eastAsia" w:eastAsia="方正小标宋简体" w:cs="方正小标宋简体"/>
          <w:color w:val="000000"/>
          <w:kern w:val="0"/>
          <w:sz w:val="52"/>
          <w:szCs w:val="52"/>
        </w:rPr>
        <w:t>内部控制报告</w:t>
      </w:r>
    </w:p>
    <w:p>
      <w:pPr>
        <w:jc w:val="center"/>
        <w:rPr>
          <w:rFonts w:ascii="黑体" w:eastAsia="黑体"/>
          <w:b/>
          <w:sz w:val="24"/>
        </w:rPr>
      </w:pPr>
    </w:p>
    <w:p>
      <w:pPr>
        <w:jc w:val="center"/>
        <w:rPr>
          <w:rFonts w:ascii="黑体" w:eastAsia="黑体"/>
          <w:b/>
          <w:sz w:val="24"/>
        </w:rPr>
      </w:pPr>
    </w:p>
    <w:p>
      <w:pPr>
        <w:autoSpaceDE w:val="0"/>
        <w:autoSpaceDN w:val="0"/>
        <w:ind w:firstLine="560" w:firstLineChars="200"/>
        <w:textAlignment w:val="baseline"/>
        <w:rPr>
          <w:rFonts w:ascii="仿宋_GB2312" w:eastAsia="仿宋_GB2312"/>
          <w:sz w:val="28"/>
          <w:szCs w:val="28"/>
        </w:rPr>
      </w:pPr>
      <w:bookmarkStart w:id="0" w:name="_GoBack"/>
      <w:bookmarkEnd w:id="0"/>
      <w:r>
        <w:rPr>
          <w:rFonts w:hint="eastAsia" w:ascii="仿宋_GB2312" w:eastAsia="仿宋_GB2312"/>
          <w:sz w:val="28"/>
          <w:szCs w:val="28"/>
        </w:rPr>
        <w:t>为贯彻落实《财政部关于全面推进行政事业单位内部控制建设的指导意见》（财会〔</w:t>
      </w:r>
      <w:r>
        <w:rPr>
          <w:rFonts w:ascii="仿宋_GB2312" w:eastAsia="仿宋_GB2312"/>
          <w:sz w:val="28"/>
          <w:szCs w:val="28"/>
        </w:rPr>
        <w:t>2015</w:t>
      </w:r>
      <w:r>
        <w:rPr>
          <w:rFonts w:hint="eastAsia" w:ascii="仿宋_GB2312" w:eastAsia="仿宋_GB2312"/>
          <w:sz w:val="28"/>
          <w:szCs w:val="28"/>
        </w:rPr>
        <w:t>〕</w:t>
      </w:r>
      <w:r>
        <w:rPr>
          <w:rFonts w:ascii="仿宋_GB2312" w:eastAsia="仿宋_GB2312"/>
          <w:sz w:val="28"/>
          <w:szCs w:val="28"/>
        </w:rPr>
        <w:t>24</w:t>
      </w:r>
      <w:r>
        <w:rPr>
          <w:rFonts w:hint="eastAsia" w:ascii="仿宋_GB2312" w:eastAsia="仿宋_GB2312"/>
          <w:sz w:val="28"/>
          <w:szCs w:val="28"/>
        </w:rPr>
        <w:t>号）的有关精神，依据《行政事业单位内部控制规范（试行）》（财会〔</w:t>
      </w:r>
      <w:r>
        <w:rPr>
          <w:rFonts w:ascii="仿宋_GB2312" w:eastAsia="仿宋_GB2312"/>
          <w:sz w:val="28"/>
          <w:szCs w:val="28"/>
        </w:rPr>
        <w:t>2012</w:t>
      </w:r>
      <w:r>
        <w:rPr>
          <w:rFonts w:hint="eastAsia" w:ascii="仿宋_GB2312" w:eastAsia="仿宋_GB2312"/>
          <w:sz w:val="28"/>
          <w:szCs w:val="28"/>
        </w:rPr>
        <w:t>〕</w:t>
      </w:r>
      <w:r>
        <w:rPr>
          <w:rFonts w:ascii="仿宋_GB2312" w:eastAsia="仿宋_GB2312"/>
          <w:sz w:val="28"/>
          <w:szCs w:val="28"/>
        </w:rPr>
        <w:t>21</w:t>
      </w:r>
      <w:r>
        <w:rPr>
          <w:rFonts w:hint="eastAsia" w:ascii="仿宋_GB2312" w:eastAsia="仿宋_GB2312"/>
          <w:sz w:val="28"/>
          <w:szCs w:val="28"/>
        </w:rPr>
        <w:t>号）和《行政事业单位内部控制报告管理制度（试行）》（财会〔</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号）的有关规定，现将本单位</w:t>
      </w:r>
      <w:r>
        <w:rPr>
          <w:rFonts w:ascii="仿宋_GB2312" w:eastAsia="仿宋_GB2312"/>
          <w:sz w:val="28"/>
          <w:szCs w:val="28"/>
        </w:rPr>
        <w:t>20</w:t>
      </w:r>
      <w:r>
        <w:rPr>
          <w:rFonts w:hint="eastAsia" w:ascii="仿宋_GB2312" w:eastAsia="仿宋_GB2312"/>
          <w:sz w:val="28"/>
          <w:szCs w:val="28"/>
        </w:rPr>
        <w:t>22年行政事业单位内部控制工作情况报告如下：</w:t>
      </w:r>
    </w:p>
    <w:p>
      <w:pPr>
        <w:autoSpaceDE w:val="0"/>
        <w:autoSpaceDN w:val="0"/>
        <w:ind w:firstLine="565" w:firstLineChars="202"/>
        <w:textAlignment w:val="baseline"/>
        <w:rPr>
          <w:rFonts w:ascii="黑体" w:hAnsi="黑体" w:eastAsia="黑体"/>
          <w:color w:val="000000"/>
          <w:sz w:val="28"/>
          <w:szCs w:val="28"/>
        </w:rPr>
      </w:pPr>
      <w:r>
        <w:rPr>
          <w:rFonts w:hint="eastAsia" w:ascii="黑体" w:hAnsi="黑体" w:eastAsia="黑体"/>
          <w:color w:val="000000"/>
          <w:sz w:val="28"/>
          <w:szCs w:val="28"/>
        </w:rPr>
        <w:t>一、单位内部控制工作的基本情况</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（一）内部控制机构设置与运行情况。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加强单位内部控制工作，是确保单位资金及整体运行合理的本质要求，也是规范各股室工作行为，实施自动防错、查错、纠错，实现自我约束、自我控制的重要手段。因此我办从整体工作的制度化、规范化、科学化出发，形成了一套事事有复核、人人有监督，行之有效、科学规范的内控制度和业务流程，坚持做到事前、事中、事后的全过程监督机制。1.合理设置岗位，明确责任分工，建立内部制衡机制。按照不相容岗位不能一人兼任的原则，财务部门分设了会计与出纳，业务部门设立了业务受理、复核、系统管理员等岗位。2.工作程序化、规范化，建立组织严密、可操作性强的工作流程和业务规范。按照既高效、便捷、严密的原则，贯彻执行机构编制法律法规、政策规定情况。3.加强内部稽核，确保各项工作规范和流程得到贯彻落实。采取定期检查和不定期抽查的方法，对负责财务及业务股室等相关工作流程进行稽核，促进整体内控工作水平的不断提高。</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（二）内部控制工作的组织实施情况。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1.强化组织领导，建立内控工作机制。我办高度重视内部控制建设并组织全员学习《内控规范》，采取多种形式，实现单位决策层、执行层、监督层了解掌握《内控规范》，进一步明确工作职责，制定实施方案，做好工作部署、股室协调、监督执行等工作，通过“以评促建”方式，推动单位内部控制水平的整体提升。2.认真落实工作，及时开展基础性评价。我办按要求通知规定的格式和要求，认真开展内部控制基础性评价工作，确保评价工作结果的真实有效。并将存在的问题及经验投入到下一步重点工作和改进方向中。3.加强监督检查，做好“回头看”工作。适时对本单位的内部控制建设工作进行督促、指导、检查和评价工作。根据监督检查后的评价结果，作为今后工作的重点对象。</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（三）内部控制制度建设与执行情况。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自《行政事业单位内部控制规范》实施以来，我办积极组织开展了贯彻实施《行政事业单位内部控制规范》的工作。在坚持内控制度要全面性、重要性、制衡性、适应性等原则的基础上进一步完善了本单位的内部控制制度，使之成为符合实际、行之有效的内控制度。提高了单位的管理水平，规范了内部控制，加强了廉政风险防控机制建设。主要有：1.对不相容岗位相互分离，明确领导小组、内控小组等组成成员的职责及分工，形成相互制约、相互监督的工作机制。2.内部授权审批控制，进一步明确各岗位工作职责、处理事项的权限范围、审批程序等。3.在业务层面的内部控制方面，完善了单位的预算管理办法、收支管理办法等。明确收支管理领域内部控制的决策、管理、执行等职责，严格按照审批、审核、支付的相关规定执行。建立建全票据管理制度，进一步规范化并由出纳负责管理。4.在资产管理方面，完善了资产管理办法，建立资产台账，定期进行全面清查核实，进一步完善资产信息系统，实现对资产的动态管理。5.在会计控制方面，完善了单位的会计管理办法，强化会计人员管理制度，加强会计档案管理，明确会计凭证、会计账簿等处理程序。</w:t>
      </w:r>
    </w:p>
    <w:p>
      <w:pPr>
        <w:autoSpaceDE w:val="0"/>
        <w:autoSpaceDN w:val="0"/>
        <w:ind w:firstLine="567"/>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（四）内部控制评价与监督情况。</w:t>
      </w:r>
    </w:p>
    <w:p>
      <w:pPr>
        <w:autoSpaceDE w:val="0"/>
        <w:autoSpaceDN w:val="0"/>
        <w:ind w:firstLine="567"/>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为保证资产安全和有效使用，财务信息真实完整，有效防范舞弊和预防腐败。我办对决策、执行、监督等进行分离，建立了岗位责任制、内部监督等机制。</w:t>
      </w:r>
    </w:p>
    <w:p>
      <w:pPr>
        <w:autoSpaceDE w:val="0"/>
        <w:autoSpaceDN w:val="0"/>
        <w:ind w:left="147" w:firstLine="420"/>
        <w:textAlignment w:val="baseline"/>
        <w:rPr>
          <w:rFonts w:ascii="黑体" w:hAnsi="黑体" w:eastAsia="黑体"/>
          <w:color w:val="000000"/>
          <w:sz w:val="28"/>
          <w:szCs w:val="28"/>
        </w:rPr>
      </w:pPr>
      <w:r>
        <w:rPr>
          <w:rFonts w:hint="eastAsia" w:ascii="黑体" w:hAnsi="黑体" w:eastAsia="黑体"/>
          <w:color w:val="000000"/>
          <w:sz w:val="28"/>
          <w:szCs w:val="28"/>
        </w:rPr>
        <w:t>二、单位存在的内部控制问题及其整改情况</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（一）2022年度单位内部控制评价发现问题及其整改情况。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不存在</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（二）2022年度单位巡视、纪检监察、审计等工作发现的与内部控制相关问题及其整改情况。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不存在</w:t>
      </w:r>
    </w:p>
    <w:p>
      <w:pPr>
        <w:autoSpaceDE w:val="0"/>
        <w:autoSpaceDN w:val="0"/>
        <w:ind w:left="147" w:firstLine="420"/>
        <w:textAlignment w:val="baseline"/>
        <w:rPr>
          <w:rFonts w:ascii="黑体" w:hAnsi="黑体" w:eastAsia="黑体"/>
          <w:color w:val="000000"/>
          <w:sz w:val="28"/>
          <w:szCs w:val="28"/>
        </w:rPr>
      </w:pPr>
      <w:r>
        <w:rPr>
          <w:rFonts w:hint="eastAsia" w:ascii="黑体" w:hAnsi="黑体" w:eastAsia="黑体"/>
          <w:color w:val="000000"/>
          <w:sz w:val="28"/>
          <w:szCs w:val="28"/>
        </w:rPr>
        <w:t>三、单位内部控制报告审核情况</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（一）报告材料的规范性。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报告材料规范</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（二）上下年数据变动合理性。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上下年数据变动合理</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（三）业务数据的准确性。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业务数据准确</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（四）数值型指标的合理性。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数值型指标合理</w:t>
      </w:r>
    </w:p>
    <w:p>
      <w:pPr>
        <w:autoSpaceDE w:val="0"/>
        <w:autoSpaceDN w:val="0"/>
        <w:ind w:firstLine="565" w:firstLineChars="202"/>
        <w:textAlignment w:val="baseline"/>
        <w:rPr>
          <w:rFonts w:ascii="黑体" w:hAnsi="黑体" w:eastAsia="黑体"/>
          <w:color w:val="000000"/>
          <w:sz w:val="28"/>
          <w:szCs w:val="28"/>
        </w:rPr>
      </w:pPr>
      <w:r>
        <w:rPr>
          <w:rFonts w:hint="eastAsia" w:ascii="黑体" w:hAnsi="黑体" w:eastAsia="黑体"/>
          <w:color w:val="000000"/>
          <w:sz w:val="28"/>
          <w:szCs w:val="28"/>
        </w:rPr>
        <w:t>四、单位内部控制工作的经验做法和取得的成效</w:t>
      </w:r>
    </w:p>
    <w:p>
      <w:pPr>
        <w:autoSpaceDE w:val="0"/>
        <w:autoSpaceDN w:val="0"/>
        <w:ind w:firstLine="567"/>
        <w:textAlignment w:val="baseline"/>
        <w:rPr>
          <w:rFonts w:ascii="仿宋" w:hAnsi="仿宋" w:eastAsia="仿宋"/>
          <w:color w:val="000000"/>
          <w:sz w:val="28"/>
          <w:szCs w:val="28"/>
        </w:rPr>
      </w:pPr>
      <w:r>
        <w:rPr>
          <w:rFonts w:hint="eastAsia" w:ascii="仿宋" w:hAnsi="仿宋" w:eastAsia="仿宋"/>
          <w:color w:val="000000"/>
          <w:sz w:val="28"/>
          <w:szCs w:val="28"/>
        </w:rPr>
        <w:t>（一）单位在推动内部控制工作中总结出的有关经验做法。</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我办以加强内部控制为基础，推进整体工作有序开展，不断提高监管成效。一、组建领导小组，作为内控抓手。单位内控是一个复杂的体系，工作涉及到预算业务、收支业务、资产管理等各项经济活动，需要各股室的协作和配合。在工作中意识到单位领导重视是推动实施内控的关键。工作中与党风廉政建设密切结合，使单位领导树立起风险防控意识，为内控工作的推进奠定了基础。成立了内部控制规范领导小组，下设了内控工作办公室，由综合股牵头协调内部控制建设与实施工作，各股室积极配合内控工作的有序、有效建立和开展。二、拟定工作方案，明确推进计划。一是宣传准备，主要包括学习内控相关知识，制定内控工作方案，成立专项内控领导小组。二是组织培训、召开会议、梳理制度流程、建立控制机制等。三是建立建全内控运行阶段，做好监督检查工作，开展内控评价，组织开展风险评估等。</w:t>
      </w:r>
    </w:p>
    <w:p>
      <w:pPr>
        <w:autoSpaceDE w:val="0"/>
        <w:autoSpaceDN w:val="0"/>
        <w:ind w:firstLine="567"/>
        <w:textAlignment w:val="baseline"/>
        <w:rPr>
          <w:rFonts w:ascii="仿宋" w:hAnsi="仿宋" w:eastAsia="仿宋"/>
          <w:color w:val="000000"/>
          <w:sz w:val="28"/>
          <w:szCs w:val="28"/>
        </w:rPr>
      </w:pPr>
      <w:r>
        <w:rPr>
          <w:rFonts w:hint="eastAsia" w:ascii="仿宋" w:hAnsi="仿宋" w:eastAsia="仿宋"/>
          <w:color w:val="000000"/>
          <w:sz w:val="28"/>
          <w:szCs w:val="28"/>
        </w:rPr>
        <w:t>（二）单位建立与实施内部控制后取得的有关成效。</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一是建立了单位层面的内控运行制约机制。包括：内控管理职责分工、关键岗位责任机制、财务信息编报要求、内部控制监督评价等。二是梳理了单位主要经济业务管理制度及流程。从单位规章制度及日常工作机制等各方面，进行精细化梳理，优化完善了费用报销单、差旅费报销单等表单。三是通过信息化对内控制度和流程进行“固化”。要保障内控真正落地，信息化是实施内控的最重要手段。真正实现从“人治”管理向“法治”管理和科学管理的转变。</w:t>
      </w:r>
    </w:p>
    <w:p>
      <w:pPr>
        <w:autoSpaceDE w:val="0"/>
        <w:autoSpaceDN w:val="0"/>
        <w:ind w:firstLine="565" w:firstLineChars="202"/>
        <w:textAlignment w:val="baseline"/>
        <w:rPr>
          <w:rFonts w:ascii="黑体" w:hAnsi="黑体" w:eastAsia="黑体"/>
          <w:color w:val="000000"/>
          <w:sz w:val="28"/>
          <w:szCs w:val="28"/>
        </w:rPr>
      </w:pPr>
      <w:r>
        <w:rPr>
          <w:rFonts w:hint="eastAsia" w:ascii="黑体" w:hAnsi="黑体" w:eastAsia="黑体"/>
          <w:color w:val="000000"/>
          <w:sz w:val="28"/>
          <w:szCs w:val="28"/>
        </w:rPr>
        <w:t>五、有关意见建议</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内控规范建设政策性强、涉及面广、工作量大且具有相当难度和专业性工作。单位自身开展内控建设缺乏专业知识和信息化手段，很难保证内控建设的效率和效果。下一步希望能有各种方式加强内控宣传、从而形成“人人学内控，处处讲内控”的良好氛围。同时，希望能有更专业的机构，获取到专业性理论支撑和丰富实务经验，确保内控规范实施取得良好效果。</w:t>
      </w:r>
    </w:p>
    <w:p>
      <w:pPr>
        <w:rPr>
          <w:rFonts w:ascii="黑体" w:eastAsia="黑体"/>
          <w:sz w:val="24"/>
        </w:rPr>
      </w:pPr>
      <w:r>
        <w:rPr>
          <w:rFonts w:hint="eastAsia" w:eastAsia="仿宋_GB2312" w:cs="仿宋_GB2312"/>
          <w:color w:val="000000"/>
          <w:spacing w:val="4"/>
          <w:sz w:val="30"/>
          <w:szCs w:val="30"/>
        </w:rPr>
        <w:br w:type="page"/>
      </w:r>
      <w:r>
        <w:rPr>
          <w:rFonts w:hint="eastAsia" w:eastAsia="仿宋_GB2312" w:cs="仿宋_GB2312"/>
          <w:color w:val="000000"/>
          <w:spacing w:val="4"/>
          <w:sz w:val="30"/>
          <w:szCs w:val="30"/>
        </w:rPr>
        <w:t>附表</w:t>
      </w:r>
    </w:p>
    <w:p>
      <w:pPr>
        <w:tabs>
          <w:tab w:val="left" w:pos="851"/>
        </w:tabs>
        <w:spacing w:after="156" w:afterLines="50" w:line="360" w:lineRule="auto"/>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一、单位基本情况</w:t>
      </w:r>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411"/>
        <w:gridCol w:w="1658"/>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组织机构代码</w:t>
            </w:r>
          </w:p>
        </w:tc>
        <w:tc>
          <w:tcPr>
            <w:tcW w:w="2411" w:type="dxa"/>
            <w:vAlign w:val="center"/>
          </w:tcPr>
          <w:p>
            <w:pPr>
              <w:spacing w:line="280" w:lineRule="exact"/>
              <w:jc w:val="center"/>
              <w:rPr>
                <w:rFonts w:ascii="楷体_GB2312" w:eastAsia="楷体_GB2312"/>
                <w:color w:val="000000"/>
                <w:sz w:val="24"/>
              </w:rPr>
            </w:pPr>
            <w:r>
              <w:rPr>
                <w:rFonts w:hint="eastAsia" w:ascii="仿宋_GB2312" w:eastAsia="仿宋_GB2312"/>
                <w:color w:val="000000"/>
                <w:sz w:val="24"/>
              </w:rPr>
              <w:t>701354485</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基本性质</w:t>
            </w:r>
          </w:p>
        </w:tc>
        <w:tc>
          <w:tcPr>
            <w:tcW w:w="2573" w:type="dxa"/>
            <w:vAlign w:val="center"/>
          </w:tcPr>
          <w:p>
            <w:pPr>
              <w:spacing w:line="280" w:lineRule="exact"/>
              <w:jc w:val="left"/>
              <w:rPr>
                <w:rFonts w:ascii="楷体_GB2312" w:eastAsia="楷体_GB2312"/>
                <w:color w:val="000000"/>
                <w:sz w:val="24"/>
              </w:rPr>
            </w:pPr>
            <w:r>
              <w:rPr>
                <w:rFonts w:hint="eastAsia" w:ascii="仿宋_GB2312" w:hAnsi="宋体" w:eastAsia="仿宋_GB2312"/>
                <w:sz w:val="24"/>
              </w:rPr>
              <w:t>10行政单位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预算级次</w:t>
            </w:r>
          </w:p>
        </w:tc>
        <w:tc>
          <w:tcPr>
            <w:tcW w:w="2411" w:type="dxa"/>
            <w:vAlign w:val="center"/>
          </w:tcPr>
          <w:p>
            <w:pPr>
              <w:spacing w:line="280" w:lineRule="exact"/>
              <w:jc w:val="left"/>
              <w:rPr>
                <w:rFonts w:ascii="楷体_GB2312" w:eastAsia="楷体_GB2312"/>
                <w:color w:val="000000"/>
                <w:sz w:val="24"/>
              </w:rPr>
            </w:pPr>
            <w:r>
              <w:rPr>
                <w:rFonts w:hint="eastAsia" w:ascii="仿宋_GB2312" w:hAnsi="宋体" w:eastAsia="仿宋_GB2312"/>
                <w:sz w:val="24"/>
              </w:rPr>
              <w:t>1一级预算单位</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预算管理级次</w:t>
            </w:r>
          </w:p>
        </w:tc>
        <w:tc>
          <w:tcPr>
            <w:tcW w:w="2573" w:type="dxa"/>
            <w:vAlign w:val="center"/>
          </w:tcPr>
          <w:p>
            <w:pPr>
              <w:spacing w:line="280" w:lineRule="exact"/>
              <w:jc w:val="left"/>
              <w:rPr>
                <w:rFonts w:ascii="楷体_GB2312" w:eastAsia="楷体_GB2312"/>
                <w:color w:val="000000"/>
                <w:sz w:val="24"/>
              </w:rPr>
            </w:pPr>
            <w:r>
              <w:rPr>
                <w:rFonts w:hint="eastAsia" w:ascii="仿宋_GB2312" w:hAnsi="宋体" w:eastAsia="仿宋_GB2312"/>
                <w:sz w:val="24"/>
              </w:rPr>
              <w:t>40县级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支出功能分类</w:t>
            </w:r>
          </w:p>
        </w:tc>
        <w:tc>
          <w:tcPr>
            <w:tcW w:w="2411" w:type="dxa"/>
            <w:vAlign w:val="center"/>
          </w:tcPr>
          <w:p>
            <w:pPr>
              <w:spacing w:line="280" w:lineRule="exact"/>
              <w:jc w:val="left"/>
              <w:rPr>
                <w:rFonts w:eastAsia="仿宋_GB2312"/>
                <w:color w:val="000000"/>
                <w:sz w:val="24"/>
              </w:rPr>
            </w:pPr>
            <w:r>
              <w:rPr>
                <w:rFonts w:hint="eastAsia" w:ascii="仿宋_GB2312" w:eastAsia="仿宋_GB2312"/>
                <w:color w:val="000000"/>
                <w:sz w:val="24"/>
              </w:rPr>
              <w:t>组织事务</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年末在职人数</w:t>
            </w:r>
          </w:p>
        </w:tc>
        <w:tc>
          <w:tcPr>
            <w:tcW w:w="2573" w:type="dxa"/>
            <w:vAlign w:val="center"/>
          </w:tcPr>
          <w:p>
            <w:pPr>
              <w:spacing w:line="280" w:lineRule="exact"/>
              <w:jc w:val="center"/>
              <w:rPr>
                <w:rFonts w:eastAsia="仿宋_GB2312"/>
                <w:color w:val="000000"/>
                <w:sz w:val="24"/>
              </w:rPr>
            </w:pPr>
            <w:r>
              <w:rPr>
                <w:rFonts w:hint="eastAsia" w:ascii="仿宋_GB2312" w:eastAsia="仿宋_GB2312"/>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所在地区</w:t>
            </w:r>
          </w:p>
        </w:tc>
        <w:tc>
          <w:tcPr>
            <w:tcW w:w="2411" w:type="dxa"/>
            <w:vAlign w:val="center"/>
          </w:tcPr>
          <w:p>
            <w:pPr>
              <w:spacing w:line="280" w:lineRule="exact"/>
              <w:jc w:val="left"/>
              <w:rPr>
                <w:rFonts w:ascii="楷体_GB2312" w:eastAsia="楷体_GB2312"/>
                <w:color w:val="000000"/>
                <w:sz w:val="24"/>
              </w:rPr>
            </w:pPr>
            <w:r>
              <w:rPr>
                <w:rFonts w:hint="eastAsia" w:ascii="仿宋_GB2312" w:eastAsia="仿宋_GB2312" w:cs="仿宋_GB2312"/>
                <w:color w:val="000000"/>
                <w:spacing w:val="-12"/>
                <w:sz w:val="24"/>
              </w:rPr>
              <w:t>奈曼旗</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隶属关系</w:t>
            </w:r>
          </w:p>
        </w:tc>
        <w:tc>
          <w:tcPr>
            <w:tcW w:w="2573" w:type="dxa"/>
            <w:vAlign w:val="center"/>
          </w:tcPr>
          <w:p>
            <w:pPr>
              <w:spacing w:line="280" w:lineRule="exact"/>
              <w:jc w:val="center"/>
              <w:rPr>
                <w:rFonts w:ascii="楷体_GB2312" w:eastAsia="楷体_GB2312"/>
                <w:color w:val="000000"/>
                <w:sz w:val="24"/>
              </w:rPr>
            </w:pPr>
            <w:r>
              <w:rPr>
                <w:rFonts w:hint="eastAsia" w:ascii="仿宋_GB2312" w:hAnsi="宋体" w:eastAsia="仿宋_GB2312"/>
                <w:sz w:val="24"/>
              </w:rPr>
              <w:t>奈曼旗中央机构编制委员会办公室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财政预算代码</w:t>
            </w:r>
          </w:p>
        </w:tc>
        <w:tc>
          <w:tcPr>
            <w:tcW w:w="6642" w:type="dxa"/>
            <w:gridSpan w:val="3"/>
            <w:vAlign w:val="center"/>
          </w:tcPr>
          <w:p>
            <w:pPr>
              <w:pStyle w:val="28"/>
              <w:tabs>
                <w:tab w:val="left" w:pos="851"/>
              </w:tabs>
              <w:spacing w:line="360" w:lineRule="auto"/>
              <w:ind w:firstLine="0" w:firstLineChars="0"/>
              <w:rPr>
                <w:rFonts w:eastAsia="仿宋_GB2312"/>
                <w:color w:val="000000"/>
                <w:sz w:val="24"/>
              </w:rPr>
            </w:pPr>
            <w:r>
              <w:rPr>
                <w:rFonts w:hint="eastAsia" w:ascii="仿宋_GB2312" w:eastAsia="仿宋_GB2312" w:cs="楷体_GB2312"/>
                <w:color w:val="000000"/>
                <w:sz w:val="24"/>
              </w:rPr>
              <w:t>423</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说明：组织机构代码根据各级技术监督部门核发的机关、团体、事业单位代码证书规定的9位码填列。单位如已取得统一社会信用代码，需按统一社会信用代码第9－17位信息填列。</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单位预算级次填列部门和单位按照预算管理权限和经费领拨关系所确定的预算级次，与部门决算封面上预算级次一致。非预算单位此项填报“无”。</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预算管理级次按单位预算分级管理的级次选择填列。非预算单位填报“90.非预算单位”。</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支出功能分类填列部门决算《支出决算表》（财决04表）中涉及金额最多的支出功能分类科目。</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年末在职人数填列在政府编制管理部门核定的编制内、由单位人事部门管理的实有年末在职人数，与部门决算《基本数字表》（财决附02表）第4栏合计数一致，即“年末实有人数”中“人员总计”的“在职人员”合计数。</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所在地区以6位代码表示，根据国家标准《中华人民共和国行政区划代码》（GB/T 2260-2007）填列。</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隶属关系以9位代码表示，前6位中央单位均填零，地方单位填行政区划代码。后3位为部门标识码，根据国家标准《</w:t>
      </w:r>
      <w:r>
        <w:rPr>
          <w:rFonts w:eastAsia="楷体_GB2312" w:cs="楷体_GB2312"/>
          <w:color w:val="000000"/>
          <w:sz w:val="24"/>
        </w:rPr>
        <w:t>中央党政机关</w:t>
      </w:r>
      <w:r>
        <w:rPr>
          <w:rFonts w:hint="eastAsia" w:eastAsia="楷体_GB2312" w:cs="楷体_GB2312"/>
          <w:color w:val="000000"/>
          <w:sz w:val="24"/>
        </w:rPr>
        <w:t>、</w:t>
      </w:r>
      <w:r>
        <w:rPr>
          <w:rFonts w:eastAsia="楷体_GB2312" w:cs="楷体_GB2312"/>
          <w:color w:val="000000"/>
          <w:sz w:val="24"/>
        </w:rPr>
        <w:t>人民团体及其他机构名称代码</w:t>
      </w:r>
      <w:r>
        <w:rPr>
          <w:rFonts w:hint="eastAsia" w:eastAsia="楷体_GB2312" w:cs="楷体_GB2312"/>
          <w:color w:val="000000"/>
          <w:sz w:val="24"/>
        </w:rPr>
        <w:t>》（GB/T 4657-2009）填列。</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单位财政预算代码即预算管理一体化系统中的单位代码，中央一级预算单位按财政部编制的三位代码填列，二级预算单位为六位代码，前三位填列其一级预算单位编码，后三位由一级预算单位从001－799依次自行编制，三级及以下预算单位以此类推。地方单位的财政预算代码应与部门预算代码一致。非预算单位此项不需填报。</w:t>
      </w:r>
    </w:p>
    <w:p>
      <w:pPr>
        <w:tabs>
          <w:tab w:val="left" w:pos="851"/>
        </w:tabs>
        <w:spacing w:after="156" w:afterLines="50" w:line="360" w:lineRule="auto"/>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二、单位层面内部控制情况</w:t>
      </w:r>
    </w:p>
    <w:p>
      <w:pPr>
        <w:widowControl/>
        <w:tabs>
          <w:tab w:val="left" w:pos="851"/>
        </w:tabs>
        <w:spacing w:line="360" w:lineRule="auto"/>
        <w:rPr>
          <w:rFonts w:ascii="黑体" w:eastAsia="黑体" w:cs="方正小标宋简体"/>
          <w:color w:val="000000"/>
          <w:spacing w:val="8"/>
          <w:sz w:val="40"/>
          <w:szCs w:val="40"/>
        </w:rPr>
      </w:pPr>
      <w:r>
        <w:rPr>
          <w:rFonts w:hint="eastAsia" w:eastAsia="仿宋_GB2312" w:cs="仿宋_GB2312"/>
          <w:color w:val="000000"/>
          <w:spacing w:val="-12"/>
          <w:sz w:val="28"/>
          <w:szCs w:val="28"/>
        </w:rPr>
        <w:t>（一）内部控制机构组成情况</w:t>
      </w:r>
    </w:p>
    <w:tbl>
      <w:tblPr>
        <w:tblStyle w:val="11"/>
        <w:tblpPr w:leftFromText="180" w:rightFromText="180" w:vertAnchor="text" w:tblpXSpec="center" w:tblpY="1"/>
        <w:tblOverlap w:val="never"/>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38"/>
        <w:gridCol w:w="1644"/>
        <w:gridCol w:w="184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trPr>
        <w:tc>
          <w:tcPr>
            <w:tcW w:w="3138" w:type="dxa"/>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单位是否成立内部控制领导小组</w:t>
            </w:r>
          </w:p>
        </w:tc>
        <w:tc>
          <w:tcPr>
            <w:tcW w:w="1644" w:type="dxa"/>
            <w:vAlign w:val="center"/>
          </w:tcPr>
          <w:p>
            <w:pPr>
              <w:spacing w:line="320" w:lineRule="exact"/>
              <w:rPr>
                <w:rFonts w:ascii="仿宋" w:hAnsi="仿宋" w:eastAsia="仿宋" w:cs="楷体_GB2312"/>
                <w:color w:val="000000"/>
                <w:sz w:val="24"/>
              </w:rPr>
            </w:pPr>
            <w:r>
              <w:rPr>
                <w:rFonts w:hint="eastAsia" w:ascii="仿宋_GB2312" w:eastAsia="仿宋_GB2312" w:cs="楷体_GB2312"/>
                <w:color w:val="000000"/>
                <w:sz w:val="24"/>
              </w:rPr>
              <w:t>是</w:t>
            </w:r>
          </w:p>
        </w:tc>
        <w:tc>
          <w:tcPr>
            <w:tcW w:w="1848" w:type="dxa"/>
            <w:vAlign w:val="center"/>
          </w:tcPr>
          <w:p>
            <w:pPr>
              <w:spacing w:line="320" w:lineRule="exact"/>
              <w:jc w:val="center"/>
              <w:rPr>
                <w:rFonts w:ascii="仿宋" w:hAnsi="仿宋" w:eastAsia="仿宋" w:cs="楷体_GB2312"/>
                <w:color w:val="000000"/>
                <w:sz w:val="24"/>
              </w:rPr>
            </w:pPr>
            <w:r>
              <w:rPr>
                <w:rFonts w:hint="eastAsia" w:ascii="仿宋" w:hAnsi="仿宋" w:eastAsia="仿宋"/>
                <w:sz w:val="24"/>
              </w:rPr>
              <w:t>单位是否成立内部控制工作小组</w:t>
            </w:r>
          </w:p>
        </w:tc>
        <w:tc>
          <w:tcPr>
            <w:tcW w:w="2082" w:type="dxa"/>
            <w:vAlign w:val="center"/>
          </w:tcPr>
          <w:p>
            <w:pPr>
              <w:spacing w:line="320" w:lineRule="exact"/>
              <w:rPr>
                <w:rFonts w:ascii="仿宋" w:hAnsi="仿宋" w:eastAsia="仿宋"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trPr>
        <w:tc>
          <w:tcPr>
            <w:tcW w:w="3138" w:type="dxa"/>
            <w:tcBorders>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单位内部控制领导小组负责人为</w:t>
            </w:r>
          </w:p>
        </w:tc>
        <w:tc>
          <w:tcPr>
            <w:tcW w:w="5574" w:type="dxa"/>
            <w:gridSpan w:val="3"/>
            <w:tcBorders>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sz w:val="24"/>
              </w:rPr>
            </w:pPr>
            <w:r>
              <w:rPr>
                <w:rFonts w:hint="eastAsia" w:ascii="仿宋" w:hAnsi="仿宋" w:eastAsia="仿宋" w:cs="仿宋"/>
                <w:color w:val="000000"/>
                <w:sz w:val="24"/>
              </w:rPr>
              <w:t>单位主要负责人</w:t>
            </w:r>
          </w:p>
          <w:p>
            <w:pPr>
              <w:spacing w:line="320" w:lineRule="exact"/>
              <w:jc w:val="left"/>
              <w:rPr>
                <w:rFonts w:ascii="仿宋" w:hAnsi="仿宋" w:eastAsia="仿宋" w:cs="仿宋"/>
                <w:color w:val="000000"/>
                <w:spacing w:val="-12"/>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吕秀娟</w:t>
            </w:r>
            <w:r>
              <w:rPr>
                <w:rFonts w:hint="eastAsia" w:ascii="仿宋" w:hAnsi="仿宋" w:eastAsia="仿宋" w:cs="仿宋"/>
                <w:color w:val="000000"/>
                <w:sz w:val="24"/>
              </w:rPr>
              <w:t xml:space="preserve"> 职务：</w:t>
            </w:r>
            <w:r>
              <w:rPr>
                <w:rFonts w:hint="eastAsia" w:ascii="仿宋" w:hAnsi="仿宋" w:eastAsia="仿宋" w:cs="仿宋"/>
                <w:color w:val="000000"/>
                <w:sz w:val="24"/>
                <w:u w:val="single"/>
              </w:rPr>
              <w:t>主任</w:t>
            </w:r>
            <w:r>
              <w:rPr>
                <w:rFonts w:hint="eastAsia" w:ascii="仿宋" w:hAnsi="仿宋" w:eastAsia="仿宋" w:cs="仿宋"/>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trPr>
        <w:tc>
          <w:tcPr>
            <w:tcW w:w="313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内部控制建设牵头部门设在</w:t>
            </w:r>
          </w:p>
        </w:tc>
        <w:tc>
          <w:tcPr>
            <w:tcW w:w="55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sz w:val="24"/>
              </w:rPr>
            </w:pPr>
            <w:r>
              <w:rPr>
                <w:rFonts w:hint="eastAsia" w:ascii="仿宋" w:hAnsi="仿宋" w:eastAsia="仿宋" w:cs="仿宋"/>
                <w:color w:val="000000"/>
                <w:sz w:val="24"/>
              </w:rPr>
              <w:t>财务部门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trPr>
        <w:tc>
          <w:tcPr>
            <w:tcW w:w="313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内部控制评价与监督部门设在</w:t>
            </w:r>
          </w:p>
        </w:tc>
        <w:tc>
          <w:tcPr>
            <w:tcW w:w="55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sz w:val="24"/>
              </w:rPr>
            </w:pPr>
            <w:r>
              <w:rPr>
                <w:rFonts w:hint="eastAsia" w:ascii="仿宋" w:hAnsi="仿宋" w:eastAsia="仿宋" w:cs="仿宋"/>
                <w:color w:val="000000"/>
                <w:sz w:val="24"/>
              </w:rPr>
              <w:t>内审部门</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说明：需上传成立内部控制相关机构的制度文件作为佐证材料。</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（二）内部控制机构运行情况</w:t>
      </w:r>
    </w:p>
    <w:tbl>
      <w:tblPr>
        <w:tblStyle w:val="1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35"/>
        <w:gridCol w:w="1044"/>
        <w:gridCol w:w="1326"/>
        <w:gridCol w:w="589"/>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4" w:hRule="atLeast"/>
          <w:jc w:val="center"/>
        </w:trPr>
        <w:tc>
          <w:tcPr>
            <w:tcW w:w="4505" w:type="dxa"/>
            <w:gridSpan w:val="3"/>
            <w:noWrap/>
            <w:vAlign w:val="center"/>
          </w:tcPr>
          <w:p>
            <w:pPr>
              <w:spacing w:line="320" w:lineRule="exact"/>
              <w:jc w:val="left"/>
              <w:rPr>
                <w:rFonts w:ascii="仿宋" w:hAnsi="仿宋" w:eastAsia="仿宋" w:cs="仿宋_GB2312"/>
                <w:color w:val="000000"/>
                <w:spacing w:val="-12"/>
                <w:sz w:val="24"/>
                <w:u w:val="single"/>
              </w:rPr>
            </w:pPr>
            <w:r>
              <w:rPr>
                <w:rFonts w:hint="eastAsia" w:ascii="仿宋" w:hAnsi="仿宋" w:eastAsia="仿宋" w:cs="仿宋_GB2312"/>
                <w:color w:val="000000"/>
                <w:spacing w:val="-12"/>
                <w:sz w:val="24"/>
              </w:rPr>
              <w:t>2022年度单位召开内部控制领导小组会议次数：</w:t>
            </w:r>
            <w:r>
              <w:rPr>
                <w:rFonts w:hint="eastAsia" w:ascii="仿宋_GB2312" w:eastAsia="仿宋_GB2312" w:cs="仿宋_GB2312"/>
                <w:color w:val="000000"/>
                <w:spacing w:val="-12"/>
                <w:sz w:val="24"/>
                <w:u w:val="single"/>
              </w:rPr>
              <w:t>1</w:t>
            </w:r>
          </w:p>
        </w:tc>
        <w:tc>
          <w:tcPr>
            <w:tcW w:w="4150" w:type="dxa"/>
            <w:gridSpan w:val="2"/>
            <w:vAlign w:val="center"/>
          </w:tcPr>
          <w:p>
            <w:pPr>
              <w:spacing w:line="320" w:lineRule="exact"/>
              <w:jc w:val="left"/>
              <w:rPr>
                <w:rFonts w:ascii="仿宋" w:hAnsi="仿宋" w:eastAsia="仿宋" w:cs="仿宋_GB2312"/>
                <w:color w:val="000000"/>
                <w:spacing w:val="-12"/>
                <w:sz w:val="24"/>
                <w:u w:val="single"/>
              </w:rPr>
            </w:pPr>
            <w:r>
              <w:rPr>
                <w:rFonts w:hint="eastAsia" w:ascii="仿宋" w:hAnsi="仿宋" w:eastAsia="仿宋" w:cs="仿宋_GB2312"/>
                <w:color w:val="000000"/>
                <w:spacing w:val="-12"/>
                <w:sz w:val="24"/>
              </w:rPr>
              <w:t>2022年度单位开展内部控制相关培训次数：</w:t>
            </w:r>
            <w:r>
              <w:rPr>
                <w:rFonts w:hint="eastAsia" w:ascii="仿宋_GB2312" w:eastAsia="仿宋_GB2312" w:cs="仿宋_GB2312"/>
                <w:color w:val="000000"/>
                <w:spacing w:val="-12"/>
                <w:sz w:val="24"/>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7" w:hRule="atLeast"/>
          <w:jc w:val="center"/>
        </w:trPr>
        <w:tc>
          <w:tcPr>
            <w:tcW w:w="213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2022年度单位层面内部控制风险评估覆盖情况</w:t>
            </w:r>
          </w:p>
        </w:tc>
        <w:tc>
          <w:tcPr>
            <w:tcW w:w="6520" w:type="dxa"/>
            <w:gridSpan w:val="4"/>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组织架构;关键岗位;制度体系;运行机制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1" w:hRule="atLeast"/>
          <w:jc w:val="center"/>
        </w:trPr>
        <w:tc>
          <w:tcPr>
            <w:tcW w:w="213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2022年度单位是否开展内部控制评价</w:t>
            </w:r>
          </w:p>
        </w:tc>
        <w:tc>
          <w:tcPr>
            <w:tcW w:w="1044" w:type="dxa"/>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c>
          <w:tcPr>
            <w:tcW w:w="1915" w:type="dxa"/>
            <w:gridSpan w:val="2"/>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2022年度单位内部控制评价结果应用领域</w:t>
            </w:r>
          </w:p>
        </w:tc>
        <w:tc>
          <w:tcPr>
            <w:tcW w:w="3561" w:type="dxa"/>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作为完善内部管理制度的依据;作为绩效管理的依据;作为监督问责的参考依据</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说明：内部控制领导小组会议包括内部控制专题会议或与内部控制工作相关的会议。需上传内部控制领导小组会议纪要作为佐证材料。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内部控制相关培训包括内部控制专题培训或将内部控制作为议题之一的相关培训。需上传内部控制培训通知或纪要等作为佐证材料。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层面内部控制风险评估覆盖情况根据2022年度单位组织开展或委托第三方开展单位层面风险评估工作以及出具的风险评估报告或其他文件，逐项勾选已进行内部控制风险评估的方面。需上传风险评估报告等材料作为佐证材料。</w:t>
      </w:r>
    </w:p>
    <w:p>
      <w:pPr>
        <w:pStyle w:val="28"/>
        <w:ind w:firstLine="480"/>
        <w:rPr>
          <w:rFonts w:eastAsia="楷体_GB2312" w:cs="楷体_GB2312"/>
          <w:color w:val="000000"/>
          <w:sz w:val="24"/>
        </w:rPr>
      </w:pPr>
      <w:r>
        <w:rPr>
          <w:rFonts w:hint="eastAsia" w:eastAsia="楷体_GB2312" w:cs="楷体_GB2312"/>
          <w:color w:val="000000"/>
          <w:sz w:val="24"/>
        </w:rPr>
        <w:t>内部控制评价是指单位自行或者委托第三方对单位内部控制体系建立与实施情况评价并出具评价报告。需上传内部控制评价报告作为佐证材料。</w:t>
      </w:r>
    </w:p>
    <w:p>
      <w:pPr>
        <w:pStyle w:val="28"/>
        <w:ind w:firstLine="0" w:firstLineChars="0"/>
        <w:rPr>
          <w:rFonts w:eastAsia="仿宋_GB2312" w:cs="仿宋_GB2312"/>
          <w:color w:val="000000"/>
          <w:spacing w:val="-12"/>
          <w:sz w:val="28"/>
          <w:szCs w:val="28"/>
        </w:rPr>
      </w:pPr>
      <w:r>
        <w:rPr>
          <w:rFonts w:hint="eastAsia" w:eastAsia="仿宋_GB2312" w:cs="仿宋_GB2312"/>
          <w:color w:val="000000"/>
          <w:spacing w:val="-12"/>
          <w:sz w:val="28"/>
          <w:szCs w:val="28"/>
        </w:rPr>
        <w:t>（三）规范权力运行情况</w:t>
      </w:r>
    </w:p>
    <w:tbl>
      <w:tblPr>
        <w:tblStyle w:val="11"/>
        <w:tblW w:w="7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4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4" w:hRule="atLeast"/>
          <w:jc w:val="center"/>
        </w:trPr>
        <w:tc>
          <w:tcPr>
            <w:tcW w:w="5741"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单位是否建立健全分事行权、分岗设权、分级授权机制</w:t>
            </w:r>
          </w:p>
        </w:tc>
        <w:tc>
          <w:tcPr>
            <w:tcW w:w="2015" w:type="dxa"/>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5741"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单位是否建立关键岗位干部交流或定期轮岗机制，并明确不具备条件轮岗的实行专项审计。</w:t>
            </w:r>
          </w:p>
        </w:tc>
        <w:tc>
          <w:tcPr>
            <w:tcW w:w="2015" w:type="dxa"/>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3" w:hRule="atLeast"/>
          <w:jc w:val="center"/>
        </w:trPr>
        <w:tc>
          <w:tcPr>
            <w:tcW w:w="5741"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单位是否针对“三重一大”事项建立集体议事决策机制</w:t>
            </w:r>
          </w:p>
        </w:tc>
        <w:tc>
          <w:tcPr>
            <w:tcW w:w="2015" w:type="dxa"/>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分事行权是指对单位经济活动和业务活动的决策、执行、监督，应当明确分工、相互分离、分别行权；分岗设权是指对涉及经济活动、业务活动的相关岗位，应当依职定岗、分岗定权、权责明确；分级授权是指对单位各管理层级和相关岗位，应当明确授权范围、授权对象、授权期限、授权与行权责任、一般授权与特殊授权界限。</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单位应当按照有关规定对关键岗位人员实行轮岗交流，明确轮岗范围、轮岗周期与轮岗方式，不具备轮岗条件的可以采用专项审计等替代措施。需上传定期轮岗（或专项审计）相关制度。</w:t>
      </w:r>
    </w:p>
    <w:p>
      <w:pPr>
        <w:pStyle w:val="28"/>
        <w:tabs>
          <w:tab w:val="left" w:pos="851"/>
        </w:tabs>
        <w:spacing w:line="360" w:lineRule="auto"/>
        <w:ind w:firstLine="480"/>
        <w:rPr>
          <w:rFonts w:ascii="楷体_GB2312" w:eastAsia="楷体_GB2312"/>
          <w:sz w:val="24"/>
        </w:rPr>
      </w:pPr>
      <w:r>
        <w:rPr>
          <w:rFonts w:hint="eastAsia" w:eastAsia="楷体_GB2312" w:cs="楷体_GB2312"/>
          <w:color w:val="000000"/>
          <w:sz w:val="24"/>
        </w:rPr>
        <w:t>“三重一大”是指重大事项决策、重要干部任免、重要项目安排、大额度资金的使用。</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（四）内部控制相关问题整改情况</w:t>
      </w:r>
    </w:p>
    <w:tbl>
      <w:tblPr>
        <w:tblStyle w:val="11"/>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55"/>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2022年度单位内部控制评价发现问题整改情况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2022年度单位巡视发现与内部控制相关问题整改情况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2022年度单位纪检监察发现与内部控制相关问题整改情况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2022年度单位审计发现与内部控制相关问题整改情况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说明：2022年度单位内部控制评价发现问题整改情况根据内部控制评价报告以及整改文件及成果等内容填写。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2022年度单位巡视发现与内部控制相关问题整改情况根据各类巡视报告及巡视整改工作报告等内容填写，仅填列与内部控制相关的问题。</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2022年度单位纪检监察发现与内部控制相关问题整改情况根据单位纪检监察报告及整改工作报告等内容填写，仅填列与内部控制相关的问题。</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2022年度单位审计发现与内部控制相关问题整改情况根据各类审计报告及整改工作报告等内容填写，仅填列与内部控制相关的问题。</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（五）政府会计改革</w:t>
      </w:r>
    </w:p>
    <w:tbl>
      <w:tblPr>
        <w:tblStyle w:val="11"/>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48"/>
        <w:gridCol w:w="951"/>
        <w:gridCol w:w="32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0" w:hRule="atLeast"/>
          <w:jc w:val="center"/>
        </w:trPr>
        <w:tc>
          <w:tcPr>
            <w:tcW w:w="3148" w:type="dxa"/>
            <w:noWrap/>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单位是否执行政府会计准则制度</w:t>
            </w:r>
          </w:p>
        </w:tc>
        <w:tc>
          <w:tcPr>
            <w:tcW w:w="951" w:type="dxa"/>
            <w:noWrap/>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c>
          <w:tcPr>
            <w:tcW w:w="32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2022年度单位是否按照政府会计准则制度要求开展预算会计核算和财务会计核算</w:t>
            </w:r>
          </w:p>
        </w:tc>
        <w:tc>
          <w:tcPr>
            <w:tcW w:w="1140" w:type="dxa"/>
            <w:noWrap/>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3148"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2022年度单位是否对固定资产和无形资产计提折旧或摊销</w:t>
            </w:r>
          </w:p>
        </w:tc>
        <w:tc>
          <w:tcPr>
            <w:tcW w:w="951" w:type="dxa"/>
            <w:noWrap/>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c>
          <w:tcPr>
            <w:tcW w:w="32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2022年度编制政府部门财务报告时，部门及所属单位之间发生的经济业务或事项是否在抵销前进行确认</w:t>
            </w:r>
          </w:p>
        </w:tc>
        <w:tc>
          <w:tcPr>
            <w:tcW w:w="1140" w:type="dxa"/>
            <w:noWrap/>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5" w:hRule="atLeast"/>
          <w:jc w:val="center"/>
        </w:trPr>
        <w:tc>
          <w:tcPr>
            <w:tcW w:w="3148"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单位是否将基本建设投资、公共基础设施、保障性住房、政府储备物资、国有文物文化资产等纳入统一账簿进行会计核算</w:t>
            </w:r>
          </w:p>
        </w:tc>
        <w:tc>
          <w:tcPr>
            <w:tcW w:w="5361" w:type="dxa"/>
            <w:gridSpan w:val="3"/>
            <w:noWrap/>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基本建设投资：</w:t>
            </w:r>
            <w:r>
              <w:rPr>
                <w:rFonts w:hint="eastAsia" w:ascii="仿宋_GB2312" w:eastAsia="仿宋_GB2312" w:cs="楷体_GB2312"/>
                <w:color w:val="000000"/>
                <w:sz w:val="24"/>
              </w:rPr>
              <w:t>不适用</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公共基础设施：</w:t>
            </w:r>
            <w:r>
              <w:rPr>
                <w:rFonts w:hint="eastAsia" w:ascii="仿宋_GB2312" w:eastAsia="仿宋_GB2312" w:cs="楷体_GB2312"/>
                <w:color w:val="000000"/>
                <w:sz w:val="24"/>
              </w:rPr>
              <w:t>不适用</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保障性住房：</w:t>
            </w:r>
            <w:r>
              <w:rPr>
                <w:rFonts w:hint="eastAsia" w:ascii="仿宋_GB2312" w:eastAsia="仿宋_GB2312" w:cs="楷体_GB2312"/>
                <w:color w:val="000000"/>
                <w:sz w:val="24"/>
              </w:rPr>
              <w:t>不适用</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政府储备物资：</w:t>
            </w:r>
            <w:r>
              <w:rPr>
                <w:rFonts w:hint="eastAsia" w:ascii="仿宋_GB2312" w:eastAsia="仿宋_GB2312" w:cs="楷体_GB2312"/>
                <w:color w:val="000000"/>
                <w:sz w:val="24"/>
              </w:rPr>
              <w:t>不适用</w:t>
            </w:r>
          </w:p>
          <w:p>
            <w:pPr>
              <w:spacing w:line="320" w:lineRule="exact"/>
              <w:jc w:val="left"/>
              <w:rPr>
                <w:rFonts w:eastAsia="仿宋_GB2312" w:cs="仿宋_GB2312"/>
                <w:color w:val="000000"/>
                <w:spacing w:val="-12"/>
                <w:sz w:val="24"/>
              </w:rPr>
            </w:pPr>
            <w:r>
              <w:rPr>
                <w:rFonts w:hint="eastAsia" w:ascii="仿宋" w:hAnsi="仿宋" w:eastAsia="仿宋" w:cs="楷体_GB2312"/>
                <w:color w:val="000000"/>
                <w:sz w:val="24"/>
              </w:rPr>
              <w:t>国有文物文化资产：</w:t>
            </w:r>
            <w:r>
              <w:rPr>
                <w:rFonts w:hint="eastAsia" w:ascii="仿宋_GB2312" w:eastAsia="仿宋_GB2312" w:cs="楷体_GB2312"/>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4" w:hRule="atLeast"/>
          <w:jc w:val="center"/>
        </w:trPr>
        <w:tc>
          <w:tcPr>
            <w:tcW w:w="3148"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单位是否开展财务报告数据的分析与应用</w:t>
            </w:r>
          </w:p>
        </w:tc>
        <w:tc>
          <w:tcPr>
            <w:tcW w:w="5361" w:type="dxa"/>
            <w:gridSpan w:val="3"/>
            <w:noWrap/>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说明：单位应当按照国家统一的会计准则制度进行账务处理，编制会计报表，并建立健全会计核算过程和财务报告编制环节的内部控制制度。</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2022年度单位是否按照政府会计准则制度要求开展预算会计核算和财务会计核算根据单位年度预算会计核算和财务会计核算情况勾选。</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编制政府部门财务报告时，部门及所属单位之间发生的经济业务或事项是否在抵销前进行确认根据2022年度政府部门财务报告编制过程中的内部抵销情况勾选。若单位不存在内部抵销事项，则勾选“不适用”。</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单位是否将基本建设投资、公共基础设施、保障性住房、政府储备物资、国有文物文化资产等纳入统一账簿进行会计核算根据单位基本建设投资、公共基础设施、保障性住房、政府储备物资、国有文物文化资产核算实际情况勾选。若单位不存在相关业务，则勾选“不适用”。</w:t>
      </w:r>
    </w:p>
    <w:p>
      <w:pPr>
        <w:pStyle w:val="28"/>
        <w:tabs>
          <w:tab w:val="left" w:pos="851"/>
        </w:tabs>
        <w:spacing w:line="360" w:lineRule="auto"/>
        <w:ind w:firstLine="0" w:firstLineChars="0"/>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三、业务层面内部控制情况</w:t>
      </w:r>
    </w:p>
    <w:p>
      <w:pPr>
        <w:widowControl/>
        <w:tabs>
          <w:tab w:val="left" w:pos="851"/>
        </w:tabs>
        <w:spacing w:line="360" w:lineRule="auto"/>
        <w:rPr>
          <w:rFonts w:eastAsia="楷体_GB2312" w:cs="楷体_GB2312"/>
          <w:color w:val="000000"/>
          <w:sz w:val="24"/>
        </w:rPr>
      </w:pPr>
      <w:r>
        <w:rPr>
          <w:rFonts w:hint="eastAsia" w:eastAsia="仿宋_GB2312" w:cs="仿宋_GB2312"/>
          <w:color w:val="000000"/>
          <w:spacing w:val="-12"/>
          <w:sz w:val="28"/>
          <w:szCs w:val="28"/>
        </w:rPr>
        <w:t>（一）内部控制适用的六大经济业务领域</w:t>
      </w:r>
    </w:p>
    <w:tbl>
      <w:tblPr>
        <w:tblStyle w:val="11"/>
        <w:tblW w:w="864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410"/>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w:t>
            </w:r>
          </w:p>
        </w:tc>
        <w:tc>
          <w:tcPr>
            <w:tcW w:w="2410"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收支业务</w:t>
            </w:r>
          </w:p>
        </w:tc>
        <w:tc>
          <w:tcPr>
            <w:tcW w:w="2551"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w:t>
            </w:r>
          </w:p>
        </w:tc>
        <w:tc>
          <w:tcPr>
            <w:tcW w:w="2410"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不适用</w:t>
            </w:r>
          </w:p>
        </w:tc>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资产管理</w:t>
            </w:r>
          </w:p>
        </w:tc>
        <w:tc>
          <w:tcPr>
            <w:tcW w:w="2551"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w:t>
            </w:r>
          </w:p>
        </w:tc>
        <w:tc>
          <w:tcPr>
            <w:tcW w:w="2410"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不适用</w:t>
            </w:r>
          </w:p>
        </w:tc>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合同管理</w:t>
            </w:r>
          </w:p>
        </w:tc>
        <w:tc>
          <w:tcPr>
            <w:tcW w:w="2551"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内部控制适用的其他业务领域</w:t>
            </w:r>
          </w:p>
        </w:tc>
        <w:tc>
          <w:tcPr>
            <w:tcW w:w="6804" w:type="dxa"/>
            <w:gridSpan w:val="3"/>
            <w:vAlign w:val="center"/>
          </w:tcPr>
          <w:p>
            <w:pPr>
              <w:spacing w:line="320" w:lineRule="exact"/>
              <w:rPr>
                <w:rFonts w:eastAsia="楷体_GB2312" w:cs="楷体_GB2312"/>
                <w:color w:val="000000"/>
                <w:sz w:val="24"/>
              </w:rPr>
            </w:pP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说明：如单位适用某项经济业务，但2022年度该业务实际未发生，也应勾选“适用”。对于不适用的业务领域，应在佐证材料中加以说明或提供支撑材料，如加盖单位公章的说明材料等。</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政府采购是指各级国家机关、事业单位和团体组织，使用财政性资金采购依法制定的集中采购目录以内的或者采购限额标准以上的货物、工程和服务的行为。单位使用财政性资金采购的集中采购目录以外和采购限额标准以下的货物、工程和服务，即自行采购业务也应当比照政府采购业务控制程序执行。</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建设项目是指单位自行或委托其他单位进行的建造、安装活动。建造活动主要是指各种建筑的新建、改建、扩建及修缮活动，安装主要是指设备的安装工程。</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若内部控制建设覆盖六大业务领域以外的其他业务，可填写具体业务名称。</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（二）职责分离情况</w:t>
      </w:r>
    </w:p>
    <w:tbl>
      <w:tblPr>
        <w:tblStyle w:val="1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38"/>
        <w:gridCol w:w="1531"/>
        <w:gridCol w:w="1593"/>
        <w:gridCol w:w="1482"/>
        <w:gridCol w:w="157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7" w:hRule="atLeast"/>
          <w:jc w:val="center"/>
        </w:trPr>
        <w:tc>
          <w:tcPr>
            <w:tcW w:w="1438" w:type="dxa"/>
            <w:vAlign w:val="center"/>
          </w:tcPr>
          <w:p>
            <w:pPr>
              <w:widowControl/>
              <w:jc w:val="center"/>
              <w:rPr>
                <w:b/>
                <w:color w:val="000000"/>
                <w:sz w:val="24"/>
              </w:rPr>
            </w:pPr>
            <w:r>
              <w:rPr>
                <w:rFonts w:hint="eastAsia"/>
                <w:b/>
                <w:color w:val="000000"/>
                <w:sz w:val="24"/>
              </w:rPr>
              <w:t>预算业务</w:t>
            </w:r>
          </w:p>
        </w:tc>
        <w:tc>
          <w:tcPr>
            <w:tcW w:w="1531" w:type="dxa"/>
            <w:vAlign w:val="center"/>
          </w:tcPr>
          <w:p>
            <w:pPr>
              <w:widowControl/>
              <w:jc w:val="center"/>
              <w:rPr>
                <w:b/>
                <w:color w:val="000000"/>
                <w:sz w:val="24"/>
              </w:rPr>
            </w:pPr>
            <w:r>
              <w:rPr>
                <w:rFonts w:hint="eastAsia"/>
                <w:b/>
                <w:color w:val="000000"/>
                <w:sz w:val="24"/>
              </w:rPr>
              <w:t>收支业务</w:t>
            </w:r>
          </w:p>
        </w:tc>
        <w:tc>
          <w:tcPr>
            <w:tcW w:w="1593" w:type="dxa"/>
            <w:vAlign w:val="center"/>
          </w:tcPr>
          <w:p>
            <w:pPr>
              <w:widowControl/>
              <w:jc w:val="center"/>
              <w:rPr>
                <w:b/>
                <w:color w:val="000000"/>
                <w:sz w:val="24"/>
              </w:rPr>
            </w:pPr>
            <w:r>
              <w:rPr>
                <w:rFonts w:hint="eastAsia"/>
                <w:b/>
                <w:color w:val="000000"/>
                <w:sz w:val="24"/>
              </w:rPr>
              <w:t>政府采购业务</w:t>
            </w:r>
          </w:p>
        </w:tc>
        <w:tc>
          <w:tcPr>
            <w:tcW w:w="1482" w:type="dxa"/>
            <w:vAlign w:val="center"/>
          </w:tcPr>
          <w:p>
            <w:pPr>
              <w:widowControl/>
              <w:jc w:val="center"/>
              <w:rPr>
                <w:b/>
                <w:color w:val="000000"/>
                <w:sz w:val="24"/>
              </w:rPr>
            </w:pPr>
            <w:r>
              <w:rPr>
                <w:rFonts w:hint="eastAsia"/>
                <w:b/>
                <w:color w:val="000000"/>
                <w:sz w:val="24"/>
              </w:rPr>
              <w:t>资产管理</w:t>
            </w:r>
          </w:p>
        </w:tc>
        <w:tc>
          <w:tcPr>
            <w:tcW w:w="1576" w:type="dxa"/>
            <w:vAlign w:val="center"/>
          </w:tcPr>
          <w:p>
            <w:pPr>
              <w:widowControl/>
              <w:jc w:val="center"/>
              <w:rPr>
                <w:b/>
                <w:color w:val="000000"/>
                <w:sz w:val="24"/>
              </w:rPr>
            </w:pPr>
            <w:r>
              <w:rPr>
                <w:rFonts w:hint="eastAsia"/>
                <w:b/>
                <w:color w:val="000000"/>
                <w:sz w:val="24"/>
              </w:rPr>
              <w:t>建设项目管理</w:t>
            </w:r>
          </w:p>
        </w:tc>
        <w:tc>
          <w:tcPr>
            <w:tcW w:w="1485" w:type="dxa"/>
            <w:vAlign w:val="center"/>
          </w:tcPr>
          <w:p>
            <w:pPr>
              <w:widowControl/>
              <w:jc w:val="center"/>
              <w:rPr>
                <w:b/>
                <w:color w:val="000000"/>
                <w:sz w:val="24"/>
              </w:rPr>
            </w:pPr>
            <w:r>
              <w:rPr>
                <w:rFonts w:hint="eastAsia"/>
                <w:b/>
                <w:color w:val="000000"/>
                <w:sz w:val="24"/>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center"/>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03"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预算编制与审核分离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收款与会计核算分离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采购需求提出与审核分离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货币资金保管、稽核与账目登记分离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项目立项申请与审核分离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合同拟订与审核分离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3"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预算审批与执行分离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支出申请与审批分离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采购方式确定与审核分离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资产财务账与实物账分离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概预算编制与审核分离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合同订立与合同章管理分离</w:t>
            </w:r>
          </w:p>
          <w:p>
            <w:pPr>
              <w:widowControl/>
              <w:rPr>
                <w:rFonts w:ascii="仿宋" w:hAnsi="仿宋" w:eastAsia="仿宋" w:cs="仿宋"/>
                <w:color w:val="000000"/>
                <w:spacing w:val="-12"/>
                <w:sz w:val="24"/>
              </w:rPr>
            </w:pPr>
            <w:r>
              <w:rPr>
                <w:rFonts w:hint="eastAsia" w:ascii="仿宋" w:hAnsi="仿宋" w:eastAsia="仿宋" w:cs="仿宋"/>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预算执行与分析分离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支出审批与付款分离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采购执行与验收分离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资产保管与清查分离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项目实施与价款支付分离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合同订立与登记台账分离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3"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决算编制与审核分离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业务经办与会计核算分离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采购验收与登记分离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对外投资立项申报与审核分离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竣工决算与审计分离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合同执行与监督分离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职责分离是指对于各业务环节中的不相容职责，不得由同一人员承担。需上传岗位职责说明书等作为佐证材料。使用网络版填报的单位，若以前年度已经上传过相应佐证材料，则无需再次上传；若以前年度未上传或第一年使用网络版填报，则需上传相应佐证材料。使用单机版填报的单位，需上传相应佐证材料。</w:t>
      </w:r>
    </w:p>
    <w:p>
      <w:pPr>
        <w:widowControl/>
        <w:tabs>
          <w:tab w:val="left" w:pos="851"/>
        </w:tabs>
        <w:spacing w:line="360" w:lineRule="auto"/>
        <w:rPr>
          <w:rFonts w:ascii="楷体" w:hAnsi="楷体" w:eastAsia="楷体" w:cs="楷体"/>
          <w:sz w:val="28"/>
          <w:szCs w:val="28"/>
        </w:rPr>
      </w:pPr>
      <w:r>
        <w:rPr>
          <w:rFonts w:hint="eastAsia" w:eastAsia="仿宋_GB2312" w:cs="仿宋_GB2312"/>
          <w:color w:val="000000"/>
          <w:spacing w:val="-12"/>
          <w:sz w:val="28"/>
          <w:szCs w:val="28"/>
        </w:rPr>
        <w:t>（三）关键岗位轮岗情况</w:t>
      </w:r>
    </w:p>
    <w:tbl>
      <w:tblPr>
        <w:tblStyle w:val="1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77"/>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收支业务</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5"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资产管理</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合同管理</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不适用</w:t>
            </w:r>
          </w:p>
        </w:tc>
      </w:tr>
    </w:tbl>
    <w:p>
      <w:pPr>
        <w:widowControl/>
        <w:tabs>
          <w:tab w:val="left" w:pos="851"/>
        </w:tabs>
        <w:spacing w:line="360" w:lineRule="auto"/>
        <w:rPr>
          <w:rFonts w:eastAsia="楷体_GB2312" w:cs="楷体_GB2312"/>
          <w:color w:val="000000"/>
          <w:sz w:val="24"/>
        </w:rPr>
      </w:pPr>
      <w:r>
        <w:rPr>
          <w:rFonts w:hint="eastAsia" w:eastAsia="楷体_GB2312" w:cs="楷体_GB2312"/>
          <w:color w:val="000000"/>
          <w:sz w:val="24"/>
        </w:rPr>
        <w:t xml:space="preserve">    说明：单位应当按照有关规定对关键岗位人员实行轮岗交流，明确轮岗范围、轮岗周期与轮岗方式，不具备轮岗条件的可以采用专项审计等替代措施。需上传定期轮岗（或专项审计）轮岗记录、专项审计报告等文件作为佐证材料。</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（四）2022年度业务层面风险评估覆盖情况</w:t>
      </w:r>
    </w:p>
    <w:tbl>
      <w:tblPr>
        <w:tblStyle w:val="11"/>
        <w:tblW w:w="864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276"/>
        <w:gridCol w:w="283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61"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预算业务是否开展风险评估</w:t>
            </w:r>
          </w:p>
        </w:tc>
        <w:tc>
          <w:tcPr>
            <w:tcW w:w="1276"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c>
          <w:tcPr>
            <w:tcW w:w="2835" w:type="dxa"/>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收支业务是否开展风险评估</w:t>
            </w:r>
          </w:p>
        </w:tc>
        <w:tc>
          <w:tcPr>
            <w:tcW w:w="1275"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1"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政府采购业务是否开展风险评估</w:t>
            </w:r>
          </w:p>
        </w:tc>
        <w:tc>
          <w:tcPr>
            <w:tcW w:w="1276"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不适用</w:t>
            </w:r>
          </w:p>
        </w:tc>
        <w:tc>
          <w:tcPr>
            <w:tcW w:w="2835" w:type="dxa"/>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资产管理是否开展风险评估</w:t>
            </w:r>
          </w:p>
        </w:tc>
        <w:tc>
          <w:tcPr>
            <w:tcW w:w="1275"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261"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建设项目管理是否开展风险评估</w:t>
            </w:r>
          </w:p>
        </w:tc>
        <w:tc>
          <w:tcPr>
            <w:tcW w:w="1276"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不适用</w:t>
            </w:r>
          </w:p>
        </w:tc>
        <w:tc>
          <w:tcPr>
            <w:tcW w:w="2835" w:type="dxa"/>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合同管理是否开展风险评估</w:t>
            </w:r>
          </w:p>
        </w:tc>
        <w:tc>
          <w:tcPr>
            <w:tcW w:w="1275"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不适用</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业务层面内部控制风险评估覆盖情况根据2022年度单位组织开展业务层面风险评估工作以及出具的风险评估报告或其他文件，逐项勾选已进行内部控制风险评估的方面。需上传风险评估报告等材料作为佐证材料。</w:t>
      </w:r>
    </w:p>
    <w:p>
      <w:pPr>
        <w:widowControl/>
        <w:tabs>
          <w:tab w:val="left" w:pos="851"/>
        </w:tabs>
        <w:spacing w:line="360" w:lineRule="auto"/>
        <w:rPr>
          <w:rFonts w:eastAsia="仿宋_GB2312" w:cs="仿宋_GB2312"/>
          <w:color w:val="000000"/>
          <w:spacing w:val="-12"/>
          <w:sz w:val="28"/>
          <w:szCs w:val="28"/>
          <w:highlight w:val="yellow"/>
        </w:rPr>
      </w:pPr>
      <w:r>
        <w:rPr>
          <w:rFonts w:hint="eastAsia" w:eastAsia="仿宋_GB2312" w:cs="仿宋_GB2312"/>
          <w:color w:val="000000"/>
          <w:spacing w:val="-12"/>
          <w:sz w:val="28"/>
          <w:szCs w:val="28"/>
        </w:rPr>
        <w:t>（五）</w:t>
      </w:r>
      <w:r>
        <w:rPr>
          <w:rFonts w:hint="eastAsia" w:eastAsia="仿宋_GB2312" w:cs="仿宋_GB2312"/>
          <w:color w:val="000000"/>
          <w:spacing w:val="-12"/>
          <w:sz w:val="28"/>
          <w:szCs w:val="28"/>
          <w:highlight w:val="yellow"/>
        </w:rPr>
        <w:t>建立健全内部控制制度情况</w:t>
      </w:r>
    </w:p>
    <w:tbl>
      <w:tblPr>
        <w:tblStyle w:val="11"/>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9"/>
        <w:gridCol w:w="925"/>
        <w:gridCol w:w="1530"/>
        <w:gridCol w:w="1227"/>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739"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业务类型</w:t>
            </w: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环节</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（类别）</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是否已建立制度和流程图</w:t>
            </w:r>
          </w:p>
        </w:tc>
        <w:tc>
          <w:tcPr>
            <w:tcW w:w="1227"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2022年度是否更新</w:t>
            </w: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内控制度覆盖关键管控点情况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739"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w:t>
            </w: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预算编制与审核</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27"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更新流程图：是</w:t>
            </w:r>
          </w:p>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单位预算编制主体、程序及标准;预决算公开;单位预算项目库入库标准与动态管理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jc w:val="center"/>
        </w:trPr>
        <w:tc>
          <w:tcPr>
            <w:tcW w:w="739" w:type="dxa"/>
            <w:vMerge w:val="continue"/>
            <w:noWrap/>
            <w:vAlign w:val="center"/>
          </w:tcPr>
          <w:p>
            <w:pPr>
              <w:spacing w:line="320" w:lineRule="exact"/>
              <w:jc w:val="center"/>
              <w:rPr>
                <w:rFonts w:eastAsia="仿宋_GB2312" w:cs="仿宋_GB2312"/>
                <w:color w:val="000000"/>
                <w:spacing w:val="-12"/>
                <w:sz w:val="24"/>
              </w:rPr>
            </w:pP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预算执行与调整</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27" w:type="dxa"/>
            <w:vMerge w:val="continue"/>
            <w:vAlign w:val="center"/>
          </w:tcPr>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单位预算执行分析次数、内容及结果应用;单位预算调整主体、程序及标准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jc w:val="center"/>
        </w:trPr>
        <w:tc>
          <w:tcPr>
            <w:tcW w:w="739" w:type="dxa"/>
            <w:vMerge w:val="continue"/>
            <w:noWrap/>
            <w:vAlign w:val="center"/>
          </w:tcPr>
          <w:p>
            <w:pPr>
              <w:spacing w:line="320" w:lineRule="exact"/>
              <w:jc w:val="center"/>
              <w:rPr>
                <w:rFonts w:eastAsia="仿宋_GB2312" w:cs="仿宋_GB2312"/>
                <w:color w:val="000000"/>
                <w:spacing w:val="-12"/>
                <w:sz w:val="24"/>
              </w:rPr>
            </w:pP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决算管理</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27" w:type="dxa"/>
            <w:vMerge w:val="continue"/>
            <w:vAlign w:val="center"/>
          </w:tcPr>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单位决算分析报告内容与应用机制;单位决算编制主体、程序及标准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0" w:hRule="atLeast"/>
          <w:jc w:val="center"/>
        </w:trPr>
        <w:tc>
          <w:tcPr>
            <w:tcW w:w="739" w:type="dxa"/>
            <w:vMerge w:val="continue"/>
            <w:noWrap/>
            <w:vAlign w:val="center"/>
          </w:tcPr>
          <w:p>
            <w:pPr>
              <w:spacing w:line="320" w:lineRule="exact"/>
              <w:jc w:val="center"/>
              <w:rPr>
                <w:rFonts w:eastAsia="仿宋_GB2312" w:cs="仿宋_GB2312"/>
                <w:color w:val="000000"/>
                <w:spacing w:val="-12"/>
                <w:sz w:val="24"/>
              </w:rPr>
            </w:pP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绩效管理</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27" w:type="dxa"/>
            <w:vMerge w:val="continue"/>
            <w:vAlign w:val="center"/>
          </w:tcPr>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单位整体绩效目标设定与审核;单位项目绩效目标设定与审核;单位项目绩效运行监控;单位整体绩效评价主体、程序及结果应用;单位项目绩效评价主体、程序及结果应用</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是否已建立制度和流程图根据单位内部控制制度和流程图建立情况勾选。截至2022年底单位已经建立对应业务环节（类别）的制度或流程图，勾选“是”；若单位尚未建立对应业务环节（类别）的制度或流程图，勾选“否”。</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是否更新根据单位2022年度内部控制制度和流程图更新情况勾选。若单位在以前年度已经建立对应业务的制度或流程图且2022年度进行过更新，或者单位2022年度首次建立对应制度或流程图，勾选“是”，否则勾选“否”。</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使用网络版填报的单位，若以前年度已经上传过相应业务的内部控制制度和流程图，则只需上传进行过更新或首次建立的制度或流程图作为佐证材料；若以前年度未上传过相应业务的内部控制制度和流程图，或第一年使用网络版填报，则需上传相应业务的内部控制制度和流程图作为佐证材料。使用单机版填报的单位，需上传相应业务的内部控制制度和流程图作为佐证材料。</w:t>
      </w:r>
    </w:p>
    <w:p>
      <w:pPr>
        <w:pStyle w:val="28"/>
        <w:tabs>
          <w:tab w:val="left" w:pos="851"/>
        </w:tabs>
        <w:spacing w:line="360" w:lineRule="auto"/>
        <w:ind w:firstLine="480"/>
        <w:rPr>
          <w:rFonts w:ascii="楷体" w:hAnsi="楷体" w:eastAsia="楷体" w:cs="楷体"/>
          <w:sz w:val="24"/>
        </w:rPr>
        <w:sectPr>
          <w:footerReference r:id="rId3" w:type="default"/>
          <w:pgSz w:w="11906" w:h="16838"/>
          <w:pgMar w:top="1440" w:right="1800" w:bottom="1440" w:left="1800" w:header="851" w:footer="499" w:gutter="0"/>
          <w:cols w:space="720" w:num="1"/>
          <w:docGrid w:type="lines" w:linePitch="312" w:charSpace="0"/>
        </w:sectPr>
      </w:pPr>
    </w:p>
    <w:tbl>
      <w:tblPr>
        <w:tblStyle w:val="11"/>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5"/>
        <w:gridCol w:w="930"/>
        <w:gridCol w:w="1549"/>
        <w:gridCol w:w="1244"/>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tblHeader/>
          <w:jc w:val="center"/>
        </w:trPr>
        <w:tc>
          <w:tcPr>
            <w:tcW w:w="69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业务类型</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环节</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（类别）</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是否已建立制度和流程图</w:t>
            </w:r>
          </w:p>
        </w:tc>
        <w:tc>
          <w:tcPr>
            <w:tcW w:w="1244"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2022年度是否更新</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内控制度覆盖关键管控点情况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0"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收支业务</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收入管理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更新制度：是</w:t>
            </w:r>
          </w:p>
          <w:p>
            <w:pPr>
              <w:autoSpaceDE w:val="0"/>
              <w:autoSpaceDN w:val="0"/>
              <w:adjustRightInd w:val="0"/>
              <w:jc w:val="center"/>
              <w:rPr>
                <w:rFonts w:eastAsia="仿宋_GB2312" w:cs="仿宋_GB2312"/>
                <w:color w:val="000000"/>
                <w:spacing w:val="-12"/>
                <w:sz w:val="24"/>
              </w:rPr>
            </w:pPr>
            <w:r>
              <w:rPr>
                <w:rFonts w:hint="eastAsia" w:eastAsia="仿宋_GB2312" w:cs="仿宋_GB2312"/>
                <w:color w:val="000000"/>
                <w:spacing w:val="-12"/>
                <w:sz w:val="24"/>
              </w:rPr>
              <w:t>更新流程图：是</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单位财政收入种类与收缴管理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票据管理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单位财政票据申领、使用保管及核销;单位发票申领、使用保管及核销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支出管理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单位支出范围与标准;单位各类支出审批权限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公务卡管理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单位公务卡结算范围及报销程序;单位公务卡办卡及销卡管理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7"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 xml:space="preserve">采购需求管理 </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w:t>
            </w:r>
          </w:p>
          <w:p>
            <w:pPr>
              <w:autoSpaceDE w:val="0"/>
              <w:autoSpaceDN w:val="0"/>
              <w:adjustRightInd w:val="0"/>
              <w:jc w:val="center"/>
              <w:rPr>
                <w:rFonts w:eastAsia="仿宋_GB2312" w:cs="仿宋_GB2312"/>
                <w:color w:val="000000"/>
                <w:spacing w:val="-12"/>
                <w:sz w:val="24"/>
              </w:rPr>
            </w:pPr>
            <w:r>
              <w:rPr>
                <w:rFonts w:hint="eastAsia" w:eastAsia="仿宋_GB2312" w:cs="仿宋_GB2312"/>
                <w:color w:val="000000"/>
                <w:spacing w:val="-12"/>
                <w:sz w:val="24"/>
              </w:rPr>
              <w:t>更新流程图：</w:t>
            </w: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2"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变更采购方式</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采购进口产品</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履约验收</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信息公开</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资产管理</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货币资金管理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更新流程图：是</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单位银行账户类型，开立、变更、撤销程序及年检;单位财务印章、银行密钥管理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固定资产管理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单位固定资产类别与配置标准;单位固定资产清查范围及程序;单位资产处置标准与审批权限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无形资产管理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对外投资管理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项目立项、设计与概预算</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restart"/>
            <w:vAlign w:val="center"/>
          </w:tcPr>
          <w:p>
            <w:pPr>
              <w:autoSpaceDE w:val="0"/>
              <w:autoSpaceDN w:val="0"/>
              <w:adjustRightInd w:val="0"/>
              <w:jc w:val="center"/>
              <w:rPr>
                <w:rFonts w:eastAsia="仿宋_GB2312" w:cs="仿宋_GB2312"/>
                <w:color w:val="000000"/>
                <w:spacing w:val="-12"/>
                <w:sz w:val="24"/>
              </w:rPr>
            </w:pPr>
            <w:r>
              <w:rPr>
                <w:rFonts w:hint="eastAsia" w:eastAsia="仿宋_GB2312" w:cs="仿宋_GB2312"/>
                <w:color w:val="000000"/>
                <w:spacing w:val="-12"/>
                <w:sz w:val="24"/>
              </w:rPr>
              <w:t>更新制度：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w:t>
            </w: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项目采购管理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1"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项目施工、变更与资金支付</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9"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项目验收管理与绩效评价</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8"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合同管理</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合同拟订与审批</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w:t>
            </w: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合同履行与监督</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合同档案与纠纷管理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bl>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（六）内部控制制度执行情况</w:t>
      </w:r>
    </w:p>
    <w:tbl>
      <w:tblPr>
        <w:tblStyle w:val="11"/>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43"/>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2843" w:type="dxa"/>
            <w:tcBorders>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事前绩效评估执行情况</w:t>
            </w:r>
          </w:p>
        </w:tc>
        <w:tc>
          <w:tcPr>
            <w:tcW w:w="5572" w:type="dxa"/>
            <w:tcBorders>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本年新增重大项目数量：</w:t>
            </w:r>
            <w:r>
              <w:rPr>
                <w:rFonts w:hint="eastAsia" w:ascii="仿宋_GB2312" w:eastAsia="仿宋_GB2312" w:cs="楷体_GB2312"/>
                <w:color w:val="000000"/>
                <w:sz w:val="24"/>
                <w:u w:val="single"/>
              </w:rPr>
              <w:t>2</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本年已开展事前绩效评估的新增重大项目数量：</w:t>
            </w:r>
            <w:r>
              <w:rPr>
                <w:rFonts w:hint="eastAsia" w:ascii="仿宋_GB2312" w:eastAsia="仿宋_GB2312" w:cs="楷体_GB2312"/>
                <w:color w:val="000000"/>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项目支出绩效目标管理情况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本年项目总数：</w:t>
            </w:r>
            <w:r>
              <w:rPr>
                <w:rFonts w:hint="eastAsia" w:ascii="仿宋_GB2312" w:eastAsia="仿宋_GB2312" w:cs="楷体_GB2312"/>
                <w:color w:val="000000"/>
                <w:sz w:val="24"/>
                <w:u w:val="single"/>
              </w:rPr>
              <w:t>2</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本年已开展绩效目标管理的项目数量：</w:t>
            </w:r>
            <w:r>
              <w:rPr>
                <w:rFonts w:hint="eastAsia" w:ascii="仿宋_GB2312" w:eastAsia="仿宋_GB2312" w:cs="楷体_GB2312"/>
                <w:color w:val="000000"/>
                <w:sz w:val="24"/>
                <w:u w:val="single"/>
              </w:rPr>
              <w:t>2</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预算绩效运行监控执行情况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本年项目总数：</w:t>
            </w:r>
            <w:r>
              <w:rPr>
                <w:rFonts w:hint="eastAsia" w:ascii="仿宋_GB2312" w:eastAsia="仿宋_GB2312" w:cs="楷体_GB2312"/>
                <w:color w:val="000000"/>
                <w:sz w:val="24"/>
                <w:u w:val="single"/>
              </w:rPr>
              <w:t>2</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本年已开展预算绩效运行监控的项目数量：</w:t>
            </w:r>
            <w:r>
              <w:rPr>
                <w:rFonts w:hint="eastAsia" w:ascii="仿宋_GB2312" w:eastAsia="仿宋_GB2312" w:cs="楷体_GB2312"/>
                <w:color w:val="000000"/>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预算绩效自评执行情况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本年项目总数：</w:t>
            </w:r>
            <w:r>
              <w:rPr>
                <w:rFonts w:hint="eastAsia" w:ascii="仿宋_GB2312" w:eastAsia="仿宋_GB2312" w:cs="楷体_GB2312"/>
                <w:color w:val="000000"/>
                <w:sz w:val="24"/>
                <w:u w:val="single"/>
              </w:rPr>
              <w:t>2</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本年已开展预算绩效自评的项目数量：</w:t>
            </w:r>
            <w:r>
              <w:rPr>
                <w:rFonts w:hint="eastAsia" w:ascii="仿宋_GB2312" w:eastAsia="仿宋_GB2312" w:cs="楷体_GB2312"/>
                <w:color w:val="000000"/>
                <w:sz w:val="24"/>
                <w:u w:val="single"/>
              </w:rPr>
              <w:t>2</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非税收入管控情况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本年应上缴非税收入金额：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本年实际上缴非税收入金额：</w:t>
            </w:r>
            <w:r>
              <w:rPr>
                <w:rFonts w:hint="eastAsia" w:ascii="仿宋_GB2312" w:eastAsia="仿宋_GB2312" w:cs="楷体_GB2312"/>
                <w:color w:val="000000"/>
                <w:sz w:val="24"/>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支出预决算对比情况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本年支出预算金额：</w:t>
            </w:r>
            <w:r>
              <w:rPr>
                <w:rFonts w:hint="eastAsia" w:ascii="仿宋_GB2312" w:eastAsia="仿宋_GB2312" w:cs="楷体_GB2312"/>
                <w:color w:val="000000"/>
                <w:sz w:val="24"/>
                <w:u w:val="single"/>
              </w:rPr>
              <w:t>1409849.10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本年实际支出总额：</w:t>
            </w:r>
            <w:r>
              <w:rPr>
                <w:rFonts w:hint="eastAsia" w:ascii="仿宋_GB2312" w:eastAsia="仿宋_GB2312" w:cs="楷体_GB2312"/>
                <w:color w:val="000000"/>
                <w:sz w:val="24"/>
                <w:u w:val="single"/>
              </w:rPr>
              <w:t>1409849.10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“三公”经费支出上下年对比情况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上年“三公”经费决算数：</w:t>
            </w:r>
            <w:r>
              <w:rPr>
                <w:rFonts w:hint="eastAsia" w:ascii="仿宋_GB2312" w:eastAsia="仿宋_GB2312" w:cs="楷体_GB2312"/>
                <w:color w:val="000000"/>
                <w:sz w:val="24"/>
                <w:u w:val="single"/>
              </w:rPr>
              <w:t>3024.07</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本年“三公”经费决算数：</w:t>
            </w:r>
            <w:r>
              <w:rPr>
                <w:rFonts w:hint="eastAsia" w:ascii="仿宋_GB2312" w:eastAsia="仿宋_GB2312" w:cs="楷体_GB2312"/>
                <w:color w:val="000000"/>
                <w:sz w:val="24"/>
                <w:u w:val="single"/>
              </w:rPr>
              <w:t>6187.32</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政府采购预算完成情况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本年计划采购金额：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本年实际采购金额：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资产账实相符程度</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年末总资产账面金额：</w:t>
            </w:r>
            <w:r>
              <w:rPr>
                <w:rFonts w:hint="eastAsia" w:ascii="仿宋_GB2312" w:eastAsia="仿宋_GB2312" w:cs="楷体_GB2312"/>
                <w:color w:val="000000"/>
                <w:sz w:val="24"/>
                <w:u w:val="single"/>
              </w:rPr>
              <w:t>425155.48</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年末资产清查总额：</w:t>
            </w:r>
            <w:r>
              <w:rPr>
                <w:rFonts w:hint="eastAsia" w:ascii="仿宋_GB2312" w:eastAsia="仿宋_GB2312" w:cs="楷体_GB2312"/>
                <w:color w:val="000000"/>
                <w:sz w:val="24"/>
                <w:u w:val="single"/>
              </w:rPr>
              <w:t>425155.48</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固定资产处置规范程度</w:t>
            </w:r>
          </w:p>
        </w:tc>
        <w:tc>
          <w:tcPr>
            <w:tcW w:w="5572" w:type="dxa"/>
            <w:tcBorders>
              <w:top w:val="single" w:color="auto" w:sz="4" w:space="0"/>
              <w:left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本年固定资产减少额：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本年固定资产处置审批金额：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项目投资计划完成情况</w:t>
            </w:r>
          </w:p>
        </w:tc>
        <w:tc>
          <w:tcPr>
            <w:tcW w:w="5572" w:type="dxa"/>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本年年度投资计划总额：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本年年度实际投资总额：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合同订立规范情况</w:t>
            </w:r>
          </w:p>
        </w:tc>
        <w:tc>
          <w:tcPr>
            <w:tcW w:w="5572" w:type="dxa"/>
            <w:vAlign w:val="center"/>
          </w:tcPr>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本年合同订立数：</w:t>
            </w:r>
            <w:r>
              <w:rPr>
                <w:rFonts w:hint="eastAsia" w:ascii="仿宋_GB2312" w:eastAsia="仿宋_GB2312" w:cs="楷体_GB2312"/>
                <w:color w:val="000000"/>
                <w:sz w:val="24"/>
                <w:u w:val="single"/>
              </w:rPr>
              <w:t>0</w:t>
            </w:r>
          </w:p>
          <w:p>
            <w:pPr>
              <w:spacing w:line="320" w:lineRule="exact"/>
              <w:jc w:val="left"/>
              <w:rPr>
                <w:rFonts w:ascii="仿宋_GB2312" w:eastAsia="仿宋_GB2312" w:cs="楷体_GB2312"/>
                <w:color w:val="000000"/>
                <w:sz w:val="24"/>
              </w:rPr>
            </w:pPr>
            <w:r>
              <w:rPr>
                <w:rFonts w:hint="eastAsia" w:ascii="仿宋_GB2312" w:eastAsia="仿宋_GB2312" w:cs="楷体_GB2312"/>
                <w:color w:val="000000"/>
                <w:sz w:val="24"/>
              </w:rPr>
              <w:t>本年经合法性审查的合同数：</w:t>
            </w:r>
            <w:r>
              <w:rPr>
                <w:rFonts w:hint="eastAsia" w:ascii="仿宋_GB2312" w:eastAsia="仿宋_GB2312" w:cs="楷体_GB2312"/>
                <w:color w:val="000000"/>
                <w:sz w:val="24"/>
                <w:u w:val="single"/>
              </w:rPr>
              <w:t>0</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说明：根据单位内部控制管理制度、业务表单与文件、信息系统数据等材料填写。所填数据中，金额类指标以“元”为单位。</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1.事前绩效评估执行情况中的“2022年度新增重大项目数量”是指2022年度单位新设立的非常态化、非延续性的重大项目数量，重大项目衡量标准由各单位根据实际情况界定；“2022年度已开展事前绩效评估的新增重大项目数量”是指单位组织或由主管部门统一组织的针对2022年度新设立的重大项目开展事前绩效评估的项目数量。预算项目是指非基本支出的二级预算项目。</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2.项目支出绩效目标管理情况中的“2022年度项目总数”是指经批复的2022年度单位正在执行的项目数量；“2022年度已开展绩效目标管理的项目数量”是指单位2022年度执行绩效目标管理的项目数量。</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3.预算绩效运行监控执行情况中的“2022年度已开展预算绩效运行监控的项目数量”是指单位针对2022年度执行项目开展绩效运行监控的项目数量。</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4.预算绩效自评执行情况中的“2022年度已开展预算绩效自评的项目数量”是指单位针对2022年度执行项目开展绩效自评的项目数量（包括委托第三方开展绩效评价的项目）。</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以上1-4需上传单位正在执行的预算项目清单作为佐证材料，清单中需至少包括以下信息：项目名称、项目代码、是否为2022年度新增重大项目、是否已开展事前绩效评估、是否已开展绩效目标管理、是否已开展预算绩效运行监控、是否已开展预算绩效自评。</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5.非税收入管控情况中的 “2022年度实际上缴非税收入”是指决算报表的《非税收入征缴情况表》（财决附04表）中纳入预算管理的已缴国库小计数及纳入财政专户管理的已缴财政专户小计数之和，即表第</w:t>
      </w:r>
      <w:r>
        <w:rPr>
          <w:rFonts w:eastAsia="楷体_GB2312" w:cs="楷体_GB2312"/>
          <w:color w:val="000000"/>
          <w:sz w:val="24"/>
        </w:rPr>
        <w:t>1</w:t>
      </w:r>
      <w:r>
        <w:rPr>
          <w:rFonts w:hint="eastAsia" w:eastAsia="楷体_GB2312" w:cs="楷体_GB2312"/>
          <w:color w:val="000000"/>
          <w:sz w:val="24"/>
        </w:rPr>
        <w:t>栏次第1行合计数（单位：元）。</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6.支出预决算对比情况中的“2022年度支出预算金额”是指2022年度决算报表的《收入支出决算总表》（财决01表）中2022年度支出的全年预算数，即表第8栏次第84行合计数（单位：元）；“2022年度实际支出总额”是指2022年度决算报表的《收入支出决算总表》（财决01表）中2022年度支出的决算数，即表第9栏次第84行合计数（单位：元）。</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7.“三公”经费支出上下年对比情况中的“2021年度‘三公’经费决算数”是指202</w:t>
      </w:r>
      <w:r>
        <w:rPr>
          <w:rFonts w:eastAsia="楷体_GB2312" w:cs="楷体_GB2312"/>
          <w:color w:val="000000"/>
          <w:sz w:val="24"/>
        </w:rPr>
        <w:t>1</w:t>
      </w:r>
      <w:r>
        <w:rPr>
          <w:rFonts w:hint="eastAsia" w:eastAsia="楷体_GB2312" w:cs="楷体_GB2312"/>
          <w:color w:val="000000"/>
          <w:sz w:val="24"/>
        </w:rPr>
        <w:t>年决算报表的《机构运行信息表》（财决附03表）中“三公”经费支出的支出合计数，即表第2栏次第2行统计数（单位：元）；“2022年度‘三公’经费决算数”是指2022年度决算报表的《机构运行信息表》（财决附03表）中“三公”经费支出的支出合计数，即表第</w:t>
      </w:r>
      <w:r>
        <w:rPr>
          <w:rFonts w:eastAsia="楷体_GB2312" w:cs="楷体_GB2312"/>
          <w:color w:val="000000"/>
          <w:sz w:val="24"/>
        </w:rPr>
        <w:t>3</w:t>
      </w:r>
      <w:r>
        <w:rPr>
          <w:rFonts w:hint="eastAsia" w:eastAsia="楷体_GB2312" w:cs="楷体_GB2312"/>
          <w:color w:val="000000"/>
          <w:sz w:val="24"/>
        </w:rPr>
        <w:t>栏次第2行统计数（单位：元）。</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8.政府采购预算完成情况中的“2022年度计划采购金额”是指2022年度单位预算批复中的政府采购预算金额和采购预算调整金额的合计数（单位：元）；“2022年度实际采购金额”是指实际完成的政府采购金额，即部门决算报表中相关政府采购数据，根据决算报表《机构运行信息表》（财决附03表）第</w:t>
      </w:r>
      <w:r>
        <w:rPr>
          <w:rFonts w:eastAsia="楷体_GB2312" w:cs="楷体_GB2312"/>
          <w:color w:val="000000"/>
          <w:sz w:val="24"/>
        </w:rPr>
        <w:t>4</w:t>
      </w:r>
      <w:r>
        <w:rPr>
          <w:rFonts w:hint="eastAsia" w:eastAsia="楷体_GB2312" w:cs="楷体_GB2312"/>
          <w:color w:val="000000"/>
          <w:sz w:val="24"/>
        </w:rPr>
        <w:t>栏次第4</w:t>
      </w:r>
      <w:r>
        <w:rPr>
          <w:rFonts w:eastAsia="楷体_GB2312" w:cs="楷体_GB2312"/>
          <w:color w:val="000000"/>
          <w:sz w:val="24"/>
        </w:rPr>
        <w:t>2</w:t>
      </w:r>
      <w:r>
        <w:rPr>
          <w:rFonts w:hint="eastAsia" w:eastAsia="楷体_GB2312" w:cs="楷体_GB2312"/>
          <w:color w:val="000000"/>
          <w:sz w:val="24"/>
        </w:rPr>
        <w:t>行“政府采购支出合计”的统计数（单位：元）填列。</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9.资产账实相符程度中的“年度资产清查或盘点前账面金额”是指单位在进行资产清查或固定资产盘点前确认的账面金额（单位：元）；“年度资产清查或盘点后实际金额”是指单位在进行资产清查或固定资产盘点后的实际金额（单位：元）。需上传当年度单位资产清查或固定资产盘点前账面金额记录，资产清查报告或固定资产盘点表作为佐证材料。如单位2022年度未开展资产清查或盘点，可不填写（即选择否）。</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10.固定资产处置规范程度中的“2022年度固定资产减少额”是指单位国有资产报表中《资产处置情况表》（财资10表）中本期减少的固定资产账面原值，即表第6栏次第1行固定资产原值小计数（单位：元）；“2022年度固定资产处置审批金额”是指严格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需上传审核后的资产处置审批单（审批单数量大于5份的单位，抽取5份；审批单数量小于或等于5份的单位，全部上传）作为佐证材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11.项目投资计划完成情况中的“2022年度投资计划总额”是指以预算年度为统计口径的基本建设类项目计划投资金额（单位：元），包括发展改革委安排的基建项目、同级财政安排的基建项目、其他主管部门安排的基建项目。该指标建议参考投资计划表、项目概预算表等资料填写；“2022年度实际投资额”是指2022年度决算报表中基本建设类项目支出决算金额，根据决算报表《项目收入支出决算表》（财决06表）“基建项目属性”为“发展改革委安排的基建项目”、“同级财政安排的基建项目”、“其他主管部门安排的基建项目”的支出数合计（单位：元）填列。需上传投资计划表或项目概预算表（项目数量大于5个的单位，抽取5份；项目数量小于或等于5个的单位，全部上传）作为佐证材料。</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12.合同订立规范情况中的“2022年度合同订立数”是指单位2022年度签订的全部合同个数；“2022年度经合法性审查的合同数”是指在已签订的合同中，严格执行审核审批程序的合同，其中具有重大影响的合同需有法务人员参与审批并签字。该指标建议参考合同文本、合同台账等资料填写。需上传审核后的合同申请审批单（合同数量大于5个的单位，抽取5份；合同数量小于或等于5个的单位，全部上传）作为佐证材料。</w:t>
      </w:r>
    </w:p>
    <w:p>
      <w:pPr>
        <w:tabs>
          <w:tab w:val="left" w:pos="851"/>
        </w:tabs>
        <w:spacing w:after="156" w:afterLines="50" w:line="360" w:lineRule="auto"/>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四、内部控制信息化情况</w:t>
      </w:r>
    </w:p>
    <w:tbl>
      <w:tblPr>
        <w:tblStyle w:val="11"/>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70"/>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1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单位内部控制信息化覆盖情况</w:t>
            </w:r>
          </w:p>
        </w:tc>
        <w:tc>
          <w:tcPr>
            <w:tcW w:w="6463" w:type="dxa"/>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预算业务管理;收支业务管理;国有资产业务管理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jc w:val="center"/>
        </w:trPr>
        <w:tc>
          <w:tcPr>
            <w:tcW w:w="21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单位内部控制信息化模块联通情况</w:t>
            </w:r>
          </w:p>
        </w:tc>
        <w:tc>
          <w:tcPr>
            <w:tcW w:w="6463" w:type="dxa"/>
            <w:vAlign w:val="center"/>
          </w:tcPr>
          <w:p>
            <w:pPr>
              <w:spacing w:line="320" w:lineRule="exact"/>
              <w:jc w:val="left"/>
              <w:rPr>
                <w:rFonts w:ascii="楷体" w:hAnsi="楷体" w:eastAsia="楷体" w:cs="楷体"/>
                <w:color w:val="000000"/>
                <w:spacing w:val="-12"/>
                <w:sz w:val="24"/>
              </w:rPr>
            </w:pPr>
            <w:r>
              <w:rPr>
                <w:rFonts w:hint="eastAsia" w:ascii="仿宋_GB2312" w:eastAsia="仿宋_GB2312" w:cs="楷体_GB2312"/>
                <w:color w:val="000000"/>
                <w:sz w:val="24"/>
              </w:rPr>
              <w:t>个模块已经联通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21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是否联通政府会计核算模块</w:t>
            </w:r>
          </w:p>
        </w:tc>
        <w:tc>
          <w:tcPr>
            <w:tcW w:w="6463" w:type="dxa"/>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内部控制信息化建设是指运用信息化手段将内部控制关键点嵌入业务系统中。对于只具有报表编报或信息记录功能的系统（模块），如预算管理一体化系统、部门决算管理系统、行政事业单位资产管理信息系统（财政版）、政府财务报告管理系统、国库集中支付系统、政府会计核算系统、行政事业单位内部控制报告填报系统、与业务无关的内部控制工作辅助软件等未嵌入单位经济业务及其内部控制流程的系统，不属于内部控制信息化的组成模块。单位内部控制信息化模块联通是指不同业务的系统模块之间的数据信息能够同步更新与实时共享。</w:t>
      </w:r>
    </w:p>
    <w:p>
      <w:pPr>
        <w:pStyle w:val="28"/>
        <w:tabs>
          <w:tab w:val="left" w:pos="851"/>
        </w:tabs>
        <w:spacing w:line="360" w:lineRule="auto"/>
        <w:ind w:firstLine="480"/>
      </w:pPr>
      <w:r>
        <w:rPr>
          <w:rFonts w:hint="eastAsia" w:eastAsia="楷体_GB2312" w:cs="楷体_GB2312"/>
          <w:color w:val="000000"/>
          <w:sz w:val="24"/>
        </w:rPr>
        <w:t>需上传内部控制信息系统设计文档及系统截图作为佐证材料。使用网络版系统填报的单位，若以前年度已经上传过相应佐证材料，则无需再次上传；若以前年度未上传或第一年使用网络版系统填报，则需上传相应佐证材料。使用单机版软件填报的单位，需上传相应佐证材料。</w:t>
      </w:r>
    </w:p>
    <w:sectPr>
      <w:pgSz w:w="11906" w:h="16838"/>
      <w:pgMar w:top="1440" w:right="1800" w:bottom="1440" w:left="1800" w:header="851" w:footer="49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18415" b="4445"/>
              <wp:wrapNone/>
              <wp:docPr id="1" name="文本框 1025"/>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a:effectLst/>
                    </wps:spPr>
                    <wps:txbx>
                      <w:txbxContent>
                        <w:p>
                          <w:pPr>
                            <w:pStyle w:val="7"/>
                          </w:pP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Q6jy0QAAAAMBAAAPAAAAAAAAAAEAIAAAACIAAABkcnMvZG93&#10;bnJldi54bWxQSwECFAAUAAAACACHTuJA9IVAg84BAACcAwAADgAAAAAAAAABACAAAAAgAQAAZHJz&#10;L2Uyb0RvYy54bWxQSwUGAAAAAAYABgBZAQAAYAUAAAAA&#10;">
              <v:fill on="f" focussize="0,0"/>
              <v:stroke on="f"/>
              <v:imagedata o:title=""/>
              <o:lock v:ext="edit" aspectratio="f"/>
              <v:textbox inset="0mm,0mm,0mm,0mm" style="mso-fit-shape-to-text:t;">
                <w:txbxContent>
                  <w:p>
                    <w:pPr>
                      <w:pStyle w:val="7"/>
                    </w:pP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YjdkM2ZmNzYyYWEyOTZkZmRmMmExOTNhNGEzYzYifQ=="/>
  </w:docVars>
  <w:rsids>
    <w:rsidRoot w:val="0024403F"/>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20F9B"/>
    <w:rsid w:val="00021969"/>
    <w:rsid w:val="00022308"/>
    <w:rsid w:val="000223EB"/>
    <w:rsid w:val="00023B02"/>
    <w:rsid w:val="00024002"/>
    <w:rsid w:val="00026468"/>
    <w:rsid w:val="000265D5"/>
    <w:rsid w:val="00031B1B"/>
    <w:rsid w:val="00032A61"/>
    <w:rsid w:val="00035024"/>
    <w:rsid w:val="0003555F"/>
    <w:rsid w:val="00035B8E"/>
    <w:rsid w:val="00040BD3"/>
    <w:rsid w:val="00040FA0"/>
    <w:rsid w:val="0004186D"/>
    <w:rsid w:val="00041E2A"/>
    <w:rsid w:val="00041E65"/>
    <w:rsid w:val="00042E86"/>
    <w:rsid w:val="0004300B"/>
    <w:rsid w:val="00043188"/>
    <w:rsid w:val="000448FA"/>
    <w:rsid w:val="00045768"/>
    <w:rsid w:val="00045A15"/>
    <w:rsid w:val="000471BC"/>
    <w:rsid w:val="00050853"/>
    <w:rsid w:val="000517E5"/>
    <w:rsid w:val="00051AF3"/>
    <w:rsid w:val="00052496"/>
    <w:rsid w:val="00053B53"/>
    <w:rsid w:val="000550B2"/>
    <w:rsid w:val="0005513B"/>
    <w:rsid w:val="00055FAC"/>
    <w:rsid w:val="00056A1C"/>
    <w:rsid w:val="00064049"/>
    <w:rsid w:val="00064A26"/>
    <w:rsid w:val="00065F64"/>
    <w:rsid w:val="000704A2"/>
    <w:rsid w:val="000736D9"/>
    <w:rsid w:val="000744CA"/>
    <w:rsid w:val="000762C7"/>
    <w:rsid w:val="00076C6B"/>
    <w:rsid w:val="00080A90"/>
    <w:rsid w:val="00081458"/>
    <w:rsid w:val="000829DB"/>
    <w:rsid w:val="00082A01"/>
    <w:rsid w:val="000835E6"/>
    <w:rsid w:val="00085A6C"/>
    <w:rsid w:val="00091127"/>
    <w:rsid w:val="0009302D"/>
    <w:rsid w:val="00094A2F"/>
    <w:rsid w:val="00094BD1"/>
    <w:rsid w:val="000A00B5"/>
    <w:rsid w:val="000A0136"/>
    <w:rsid w:val="000A3678"/>
    <w:rsid w:val="000A39CD"/>
    <w:rsid w:val="000A40FB"/>
    <w:rsid w:val="000A44DF"/>
    <w:rsid w:val="000A6AF9"/>
    <w:rsid w:val="000A6FAE"/>
    <w:rsid w:val="000A7618"/>
    <w:rsid w:val="000A7B0A"/>
    <w:rsid w:val="000B1BC8"/>
    <w:rsid w:val="000B283F"/>
    <w:rsid w:val="000B2867"/>
    <w:rsid w:val="000B3500"/>
    <w:rsid w:val="000B3CCA"/>
    <w:rsid w:val="000B69BD"/>
    <w:rsid w:val="000B7CA9"/>
    <w:rsid w:val="000C3BAF"/>
    <w:rsid w:val="000C4256"/>
    <w:rsid w:val="000C6C8E"/>
    <w:rsid w:val="000C7874"/>
    <w:rsid w:val="000C7A72"/>
    <w:rsid w:val="000D07EE"/>
    <w:rsid w:val="000D286E"/>
    <w:rsid w:val="000D2963"/>
    <w:rsid w:val="000D506C"/>
    <w:rsid w:val="000D53D4"/>
    <w:rsid w:val="000D5640"/>
    <w:rsid w:val="000D666C"/>
    <w:rsid w:val="000E05E6"/>
    <w:rsid w:val="000E18D7"/>
    <w:rsid w:val="000E1C87"/>
    <w:rsid w:val="000E3219"/>
    <w:rsid w:val="000E4E65"/>
    <w:rsid w:val="000E6978"/>
    <w:rsid w:val="000F07B1"/>
    <w:rsid w:val="000F190E"/>
    <w:rsid w:val="000F2303"/>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06DF6"/>
    <w:rsid w:val="0011132A"/>
    <w:rsid w:val="001128FD"/>
    <w:rsid w:val="00112CEA"/>
    <w:rsid w:val="00112D65"/>
    <w:rsid w:val="001132BA"/>
    <w:rsid w:val="001133ED"/>
    <w:rsid w:val="00116824"/>
    <w:rsid w:val="00120244"/>
    <w:rsid w:val="0012111A"/>
    <w:rsid w:val="001225F4"/>
    <w:rsid w:val="00122738"/>
    <w:rsid w:val="00123E29"/>
    <w:rsid w:val="00124BAA"/>
    <w:rsid w:val="00125F80"/>
    <w:rsid w:val="0012611B"/>
    <w:rsid w:val="00126320"/>
    <w:rsid w:val="0012717E"/>
    <w:rsid w:val="00127443"/>
    <w:rsid w:val="00127B95"/>
    <w:rsid w:val="00127DB5"/>
    <w:rsid w:val="00127E10"/>
    <w:rsid w:val="00130702"/>
    <w:rsid w:val="001309D2"/>
    <w:rsid w:val="00132D4F"/>
    <w:rsid w:val="0013385A"/>
    <w:rsid w:val="00134211"/>
    <w:rsid w:val="00134222"/>
    <w:rsid w:val="00134C9C"/>
    <w:rsid w:val="00135CDA"/>
    <w:rsid w:val="00136A7C"/>
    <w:rsid w:val="00136BC3"/>
    <w:rsid w:val="00136DEB"/>
    <w:rsid w:val="00137637"/>
    <w:rsid w:val="001402D1"/>
    <w:rsid w:val="001403F8"/>
    <w:rsid w:val="001424AD"/>
    <w:rsid w:val="00142E34"/>
    <w:rsid w:val="00144417"/>
    <w:rsid w:val="001452C0"/>
    <w:rsid w:val="00145546"/>
    <w:rsid w:val="00145689"/>
    <w:rsid w:val="00146B4C"/>
    <w:rsid w:val="00147D40"/>
    <w:rsid w:val="0015016B"/>
    <w:rsid w:val="00151100"/>
    <w:rsid w:val="00154698"/>
    <w:rsid w:val="00154B7E"/>
    <w:rsid w:val="00155EDD"/>
    <w:rsid w:val="001608FC"/>
    <w:rsid w:val="001612C8"/>
    <w:rsid w:val="001629B5"/>
    <w:rsid w:val="00163130"/>
    <w:rsid w:val="001638AD"/>
    <w:rsid w:val="00166AB3"/>
    <w:rsid w:val="00166B85"/>
    <w:rsid w:val="0016742E"/>
    <w:rsid w:val="00167CCE"/>
    <w:rsid w:val="00167E15"/>
    <w:rsid w:val="00167EE4"/>
    <w:rsid w:val="00172AC4"/>
    <w:rsid w:val="00174007"/>
    <w:rsid w:val="00175EE7"/>
    <w:rsid w:val="001767FF"/>
    <w:rsid w:val="00176F2B"/>
    <w:rsid w:val="0018014F"/>
    <w:rsid w:val="00181778"/>
    <w:rsid w:val="00184B7F"/>
    <w:rsid w:val="00186B78"/>
    <w:rsid w:val="0018717B"/>
    <w:rsid w:val="001875E0"/>
    <w:rsid w:val="0018798D"/>
    <w:rsid w:val="001918B0"/>
    <w:rsid w:val="00192A7A"/>
    <w:rsid w:val="00193B98"/>
    <w:rsid w:val="0019426A"/>
    <w:rsid w:val="00194C68"/>
    <w:rsid w:val="001952A2"/>
    <w:rsid w:val="0019597E"/>
    <w:rsid w:val="00197862"/>
    <w:rsid w:val="00197A1A"/>
    <w:rsid w:val="001A07E6"/>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2213"/>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64A"/>
    <w:rsid w:val="00213FDC"/>
    <w:rsid w:val="002151C9"/>
    <w:rsid w:val="002157B1"/>
    <w:rsid w:val="0021615F"/>
    <w:rsid w:val="002167A8"/>
    <w:rsid w:val="002168D0"/>
    <w:rsid w:val="002205EE"/>
    <w:rsid w:val="0022065D"/>
    <w:rsid w:val="00220674"/>
    <w:rsid w:val="00220934"/>
    <w:rsid w:val="00220A85"/>
    <w:rsid w:val="002217D6"/>
    <w:rsid w:val="00221A29"/>
    <w:rsid w:val="00222022"/>
    <w:rsid w:val="002229FF"/>
    <w:rsid w:val="00223282"/>
    <w:rsid w:val="0022477A"/>
    <w:rsid w:val="002249D4"/>
    <w:rsid w:val="00224FAE"/>
    <w:rsid w:val="002255B9"/>
    <w:rsid w:val="00225DC6"/>
    <w:rsid w:val="00225F25"/>
    <w:rsid w:val="002264B2"/>
    <w:rsid w:val="00227977"/>
    <w:rsid w:val="00230477"/>
    <w:rsid w:val="002309D4"/>
    <w:rsid w:val="002309F2"/>
    <w:rsid w:val="00231A9E"/>
    <w:rsid w:val="0023333B"/>
    <w:rsid w:val="00233B91"/>
    <w:rsid w:val="0023495D"/>
    <w:rsid w:val="002351A6"/>
    <w:rsid w:val="002359BE"/>
    <w:rsid w:val="002363EB"/>
    <w:rsid w:val="00236914"/>
    <w:rsid w:val="00236B4D"/>
    <w:rsid w:val="002417E5"/>
    <w:rsid w:val="0024403F"/>
    <w:rsid w:val="002440C0"/>
    <w:rsid w:val="00245608"/>
    <w:rsid w:val="002457B7"/>
    <w:rsid w:val="002457C8"/>
    <w:rsid w:val="00245B8E"/>
    <w:rsid w:val="00246FEA"/>
    <w:rsid w:val="002474FA"/>
    <w:rsid w:val="00247637"/>
    <w:rsid w:val="00247692"/>
    <w:rsid w:val="00247ABC"/>
    <w:rsid w:val="00247FBF"/>
    <w:rsid w:val="002507D2"/>
    <w:rsid w:val="00250BDF"/>
    <w:rsid w:val="0025111F"/>
    <w:rsid w:val="002515BC"/>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5499"/>
    <w:rsid w:val="0026644C"/>
    <w:rsid w:val="00267109"/>
    <w:rsid w:val="002674B0"/>
    <w:rsid w:val="00267983"/>
    <w:rsid w:val="00274037"/>
    <w:rsid w:val="00276731"/>
    <w:rsid w:val="00276E69"/>
    <w:rsid w:val="00284E02"/>
    <w:rsid w:val="002854E2"/>
    <w:rsid w:val="00287076"/>
    <w:rsid w:val="00287374"/>
    <w:rsid w:val="00287B12"/>
    <w:rsid w:val="0029014A"/>
    <w:rsid w:val="002903AC"/>
    <w:rsid w:val="00292645"/>
    <w:rsid w:val="002940D1"/>
    <w:rsid w:val="00294A57"/>
    <w:rsid w:val="00294BAF"/>
    <w:rsid w:val="00294DC1"/>
    <w:rsid w:val="0029679E"/>
    <w:rsid w:val="00297071"/>
    <w:rsid w:val="002A02CA"/>
    <w:rsid w:val="002A0A66"/>
    <w:rsid w:val="002A411A"/>
    <w:rsid w:val="002A6569"/>
    <w:rsid w:val="002A7B7B"/>
    <w:rsid w:val="002B0765"/>
    <w:rsid w:val="002B0C38"/>
    <w:rsid w:val="002B2728"/>
    <w:rsid w:val="002B317D"/>
    <w:rsid w:val="002B3839"/>
    <w:rsid w:val="002B5724"/>
    <w:rsid w:val="002B6407"/>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5922"/>
    <w:rsid w:val="002F5DF8"/>
    <w:rsid w:val="002F67B9"/>
    <w:rsid w:val="00300B01"/>
    <w:rsid w:val="00300BD2"/>
    <w:rsid w:val="00301B9A"/>
    <w:rsid w:val="00302828"/>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FB7"/>
    <w:rsid w:val="0032551A"/>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654D"/>
    <w:rsid w:val="003572DE"/>
    <w:rsid w:val="0035745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5CD"/>
    <w:rsid w:val="00375701"/>
    <w:rsid w:val="0037590A"/>
    <w:rsid w:val="003759E4"/>
    <w:rsid w:val="0037616B"/>
    <w:rsid w:val="003762BA"/>
    <w:rsid w:val="00376FC6"/>
    <w:rsid w:val="00377396"/>
    <w:rsid w:val="00381B25"/>
    <w:rsid w:val="00382555"/>
    <w:rsid w:val="0038309E"/>
    <w:rsid w:val="00383D19"/>
    <w:rsid w:val="00390C48"/>
    <w:rsid w:val="00391F92"/>
    <w:rsid w:val="003922E0"/>
    <w:rsid w:val="00392DF1"/>
    <w:rsid w:val="003933E0"/>
    <w:rsid w:val="00396E28"/>
    <w:rsid w:val="00396F7A"/>
    <w:rsid w:val="003970EF"/>
    <w:rsid w:val="00397124"/>
    <w:rsid w:val="003972FD"/>
    <w:rsid w:val="003A13FA"/>
    <w:rsid w:val="003A204B"/>
    <w:rsid w:val="003A25DE"/>
    <w:rsid w:val="003A30FA"/>
    <w:rsid w:val="003A47D8"/>
    <w:rsid w:val="003A4C0E"/>
    <w:rsid w:val="003A744E"/>
    <w:rsid w:val="003A7E00"/>
    <w:rsid w:val="003B0531"/>
    <w:rsid w:val="003B0535"/>
    <w:rsid w:val="003B085C"/>
    <w:rsid w:val="003B1271"/>
    <w:rsid w:val="003B1410"/>
    <w:rsid w:val="003B1520"/>
    <w:rsid w:val="003B2B6A"/>
    <w:rsid w:val="003B31E8"/>
    <w:rsid w:val="003B3DBC"/>
    <w:rsid w:val="003B443B"/>
    <w:rsid w:val="003B5674"/>
    <w:rsid w:val="003B59D8"/>
    <w:rsid w:val="003B5F2E"/>
    <w:rsid w:val="003B7F98"/>
    <w:rsid w:val="003C05A8"/>
    <w:rsid w:val="003C1827"/>
    <w:rsid w:val="003C3113"/>
    <w:rsid w:val="003C338A"/>
    <w:rsid w:val="003C4C0E"/>
    <w:rsid w:val="003C4C90"/>
    <w:rsid w:val="003C4CBF"/>
    <w:rsid w:val="003C5267"/>
    <w:rsid w:val="003C591F"/>
    <w:rsid w:val="003C5C63"/>
    <w:rsid w:val="003C6787"/>
    <w:rsid w:val="003C6D95"/>
    <w:rsid w:val="003C7D0B"/>
    <w:rsid w:val="003D19BA"/>
    <w:rsid w:val="003D3235"/>
    <w:rsid w:val="003D4E47"/>
    <w:rsid w:val="003D4F88"/>
    <w:rsid w:val="003D5810"/>
    <w:rsid w:val="003D73E5"/>
    <w:rsid w:val="003D7ECD"/>
    <w:rsid w:val="003E0479"/>
    <w:rsid w:val="003E0879"/>
    <w:rsid w:val="003E41FB"/>
    <w:rsid w:val="003E4A3F"/>
    <w:rsid w:val="003E5500"/>
    <w:rsid w:val="003E6718"/>
    <w:rsid w:val="003E71E6"/>
    <w:rsid w:val="003E724D"/>
    <w:rsid w:val="003E7B92"/>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07A2A"/>
    <w:rsid w:val="004100CD"/>
    <w:rsid w:val="00411B40"/>
    <w:rsid w:val="00412350"/>
    <w:rsid w:val="004123B4"/>
    <w:rsid w:val="00414EFE"/>
    <w:rsid w:val="004157FE"/>
    <w:rsid w:val="00415AB7"/>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921"/>
    <w:rsid w:val="004332A7"/>
    <w:rsid w:val="00435DCC"/>
    <w:rsid w:val="004366F3"/>
    <w:rsid w:val="00442070"/>
    <w:rsid w:val="004428BD"/>
    <w:rsid w:val="004449C4"/>
    <w:rsid w:val="00445ED1"/>
    <w:rsid w:val="00446464"/>
    <w:rsid w:val="004466C2"/>
    <w:rsid w:val="00446BBC"/>
    <w:rsid w:val="00446DBB"/>
    <w:rsid w:val="00446E77"/>
    <w:rsid w:val="00447B84"/>
    <w:rsid w:val="00447DCF"/>
    <w:rsid w:val="004516BD"/>
    <w:rsid w:val="00451A4F"/>
    <w:rsid w:val="00456DE2"/>
    <w:rsid w:val="004620EE"/>
    <w:rsid w:val="004627D8"/>
    <w:rsid w:val="004628AE"/>
    <w:rsid w:val="0046299C"/>
    <w:rsid w:val="00462E1E"/>
    <w:rsid w:val="00462E4E"/>
    <w:rsid w:val="0046400E"/>
    <w:rsid w:val="004649F9"/>
    <w:rsid w:val="00466815"/>
    <w:rsid w:val="00467A5F"/>
    <w:rsid w:val="00467E35"/>
    <w:rsid w:val="004713C9"/>
    <w:rsid w:val="00471516"/>
    <w:rsid w:val="00471C2C"/>
    <w:rsid w:val="00471DBD"/>
    <w:rsid w:val="00471F0E"/>
    <w:rsid w:val="00472707"/>
    <w:rsid w:val="00472D92"/>
    <w:rsid w:val="004742BE"/>
    <w:rsid w:val="00475879"/>
    <w:rsid w:val="00475D5D"/>
    <w:rsid w:val="004764A3"/>
    <w:rsid w:val="004767D0"/>
    <w:rsid w:val="00477167"/>
    <w:rsid w:val="00480EC7"/>
    <w:rsid w:val="0048178E"/>
    <w:rsid w:val="00481A84"/>
    <w:rsid w:val="004855CB"/>
    <w:rsid w:val="00485FD0"/>
    <w:rsid w:val="004878CC"/>
    <w:rsid w:val="00490B2F"/>
    <w:rsid w:val="00490B38"/>
    <w:rsid w:val="0049194D"/>
    <w:rsid w:val="0049358B"/>
    <w:rsid w:val="00494AA3"/>
    <w:rsid w:val="00495D9A"/>
    <w:rsid w:val="004963A6"/>
    <w:rsid w:val="004A006D"/>
    <w:rsid w:val="004A088E"/>
    <w:rsid w:val="004A16B2"/>
    <w:rsid w:val="004A2D6E"/>
    <w:rsid w:val="004A30A2"/>
    <w:rsid w:val="004A3322"/>
    <w:rsid w:val="004A3993"/>
    <w:rsid w:val="004A4D15"/>
    <w:rsid w:val="004A5544"/>
    <w:rsid w:val="004A6E7D"/>
    <w:rsid w:val="004B016C"/>
    <w:rsid w:val="004B0174"/>
    <w:rsid w:val="004B05C1"/>
    <w:rsid w:val="004B067D"/>
    <w:rsid w:val="004B1B64"/>
    <w:rsid w:val="004B5B03"/>
    <w:rsid w:val="004B6D1C"/>
    <w:rsid w:val="004B7A2C"/>
    <w:rsid w:val="004C0C9A"/>
    <w:rsid w:val="004C21EE"/>
    <w:rsid w:val="004C23DB"/>
    <w:rsid w:val="004C4276"/>
    <w:rsid w:val="004C5180"/>
    <w:rsid w:val="004D0675"/>
    <w:rsid w:val="004D0C60"/>
    <w:rsid w:val="004D28B3"/>
    <w:rsid w:val="004D52DF"/>
    <w:rsid w:val="004D567F"/>
    <w:rsid w:val="004D67B7"/>
    <w:rsid w:val="004D6B6C"/>
    <w:rsid w:val="004D6DAE"/>
    <w:rsid w:val="004E2A67"/>
    <w:rsid w:val="004E3448"/>
    <w:rsid w:val="004E38B2"/>
    <w:rsid w:val="004E4972"/>
    <w:rsid w:val="004E682A"/>
    <w:rsid w:val="004E7A61"/>
    <w:rsid w:val="004F02CB"/>
    <w:rsid w:val="004F30DB"/>
    <w:rsid w:val="004F6648"/>
    <w:rsid w:val="0050030F"/>
    <w:rsid w:val="0050059A"/>
    <w:rsid w:val="00500860"/>
    <w:rsid w:val="00505849"/>
    <w:rsid w:val="00506DF7"/>
    <w:rsid w:val="005072B8"/>
    <w:rsid w:val="005101AF"/>
    <w:rsid w:val="00512B6C"/>
    <w:rsid w:val="00513EFF"/>
    <w:rsid w:val="00514A9F"/>
    <w:rsid w:val="00514B1A"/>
    <w:rsid w:val="00514CC6"/>
    <w:rsid w:val="0051705A"/>
    <w:rsid w:val="0051757F"/>
    <w:rsid w:val="00521147"/>
    <w:rsid w:val="00523371"/>
    <w:rsid w:val="00524850"/>
    <w:rsid w:val="00524D94"/>
    <w:rsid w:val="00525600"/>
    <w:rsid w:val="0052650D"/>
    <w:rsid w:val="005274DD"/>
    <w:rsid w:val="00527CC2"/>
    <w:rsid w:val="00531C72"/>
    <w:rsid w:val="00532969"/>
    <w:rsid w:val="00533245"/>
    <w:rsid w:val="00533B10"/>
    <w:rsid w:val="00533CFF"/>
    <w:rsid w:val="00534385"/>
    <w:rsid w:val="00541B17"/>
    <w:rsid w:val="00541BD4"/>
    <w:rsid w:val="00544207"/>
    <w:rsid w:val="00544BD9"/>
    <w:rsid w:val="00545115"/>
    <w:rsid w:val="005458A5"/>
    <w:rsid w:val="00546726"/>
    <w:rsid w:val="0054679C"/>
    <w:rsid w:val="0054685A"/>
    <w:rsid w:val="005468AA"/>
    <w:rsid w:val="005475CC"/>
    <w:rsid w:val="00550026"/>
    <w:rsid w:val="005520EA"/>
    <w:rsid w:val="00552B12"/>
    <w:rsid w:val="0055399B"/>
    <w:rsid w:val="00553EDC"/>
    <w:rsid w:val="005552F8"/>
    <w:rsid w:val="00555932"/>
    <w:rsid w:val="0055732A"/>
    <w:rsid w:val="005574BA"/>
    <w:rsid w:val="00557C40"/>
    <w:rsid w:val="00560222"/>
    <w:rsid w:val="005605D7"/>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14F2"/>
    <w:rsid w:val="00593800"/>
    <w:rsid w:val="005941FD"/>
    <w:rsid w:val="00595A21"/>
    <w:rsid w:val="005A1B73"/>
    <w:rsid w:val="005A2142"/>
    <w:rsid w:val="005A23C6"/>
    <w:rsid w:val="005A30F6"/>
    <w:rsid w:val="005A37E9"/>
    <w:rsid w:val="005A3FCD"/>
    <w:rsid w:val="005A404A"/>
    <w:rsid w:val="005A5278"/>
    <w:rsid w:val="005A551E"/>
    <w:rsid w:val="005A7084"/>
    <w:rsid w:val="005A70A5"/>
    <w:rsid w:val="005A7242"/>
    <w:rsid w:val="005B0665"/>
    <w:rsid w:val="005B08BC"/>
    <w:rsid w:val="005B2208"/>
    <w:rsid w:val="005B2CA4"/>
    <w:rsid w:val="005B3494"/>
    <w:rsid w:val="005B3CC1"/>
    <w:rsid w:val="005B4283"/>
    <w:rsid w:val="005B519E"/>
    <w:rsid w:val="005B51DF"/>
    <w:rsid w:val="005B5E80"/>
    <w:rsid w:val="005B77FF"/>
    <w:rsid w:val="005B78FF"/>
    <w:rsid w:val="005C0D64"/>
    <w:rsid w:val="005C1F5D"/>
    <w:rsid w:val="005C5012"/>
    <w:rsid w:val="005C7867"/>
    <w:rsid w:val="005D08EA"/>
    <w:rsid w:val="005D1145"/>
    <w:rsid w:val="005D241A"/>
    <w:rsid w:val="005D5082"/>
    <w:rsid w:val="005D7A7F"/>
    <w:rsid w:val="005E045A"/>
    <w:rsid w:val="005E0587"/>
    <w:rsid w:val="005E2C89"/>
    <w:rsid w:val="005E4104"/>
    <w:rsid w:val="005E410C"/>
    <w:rsid w:val="005E4EFC"/>
    <w:rsid w:val="005E7980"/>
    <w:rsid w:val="005F039E"/>
    <w:rsid w:val="005F0E4E"/>
    <w:rsid w:val="005F3048"/>
    <w:rsid w:val="005F33E1"/>
    <w:rsid w:val="005F35A0"/>
    <w:rsid w:val="005F399D"/>
    <w:rsid w:val="005F5A94"/>
    <w:rsid w:val="005F5F58"/>
    <w:rsid w:val="005F639E"/>
    <w:rsid w:val="005F676E"/>
    <w:rsid w:val="005F6B9C"/>
    <w:rsid w:val="005F6E6B"/>
    <w:rsid w:val="005F6F22"/>
    <w:rsid w:val="00600C87"/>
    <w:rsid w:val="00601FD1"/>
    <w:rsid w:val="006028C6"/>
    <w:rsid w:val="00603172"/>
    <w:rsid w:val="006031D0"/>
    <w:rsid w:val="00603486"/>
    <w:rsid w:val="00604440"/>
    <w:rsid w:val="00605999"/>
    <w:rsid w:val="00605C34"/>
    <w:rsid w:val="00605CF4"/>
    <w:rsid w:val="00607DA4"/>
    <w:rsid w:val="00610553"/>
    <w:rsid w:val="00610E9B"/>
    <w:rsid w:val="0061177B"/>
    <w:rsid w:val="006120A2"/>
    <w:rsid w:val="0061240F"/>
    <w:rsid w:val="006124C4"/>
    <w:rsid w:val="006130E4"/>
    <w:rsid w:val="00616736"/>
    <w:rsid w:val="00616843"/>
    <w:rsid w:val="00616E06"/>
    <w:rsid w:val="006176F2"/>
    <w:rsid w:val="00617DC4"/>
    <w:rsid w:val="00623EA8"/>
    <w:rsid w:val="006251A1"/>
    <w:rsid w:val="00627B6B"/>
    <w:rsid w:val="0063070F"/>
    <w:rsid w:val="00631FE2"/>
    <w:rsid w:val="0063377E"/>
    <w:rsid w:val="00636F2E"/>
    <w:rsid w:val="00641068"/>
    <w:rsid w:val="00641770"/>
    <w:rsid w:val="00641F83"/>
    <w:rsid w:val="00643630"/>
    <w:rsid w:val="00646658"/>
    <w:rsid w:val="00646B01"/>
    <w:rsid w:val="00647821"/>
    <w:rsid w:val="00650391"/>
    <w:rsid w:val="00651F3B"/>
    <w:rsid w:val="0065218B"/>
    <w:rsid w:val="00652773"/>
    <w:rsid w:val="00653315"/>
    <w:rsid w:val="006551A0"/>
    <w:rsid w:val="00655B3F"/>
    <w:rsid w:val="006616EE"/>
    <w:rsid w:val="00661A7C"/>
    <w:rsid w:val="00663B91"/>
    <w:rsid w:val="00663EAE"/>
    <w:rsid w:val="006642FA"/>
    <w:rsid w:val="0066498B"/>
    <w:rsid w:val="00666050"/>
    <w:rsid w:val="00671D30"/>
    <w:rsid w:val="00672484"/>
    <w:rsid w:val="00673ECD"/>
    <w:rsid w:val="0067526C"/>
    <w:rsid w:val="00676DA7"/>
    <w:rsid w:val="006777C7"/>
    <w:rsid w:val="00677B54"/>
    <w:rsid w:val="00680BCC"/>
    <w:rsid w:val="00680C02"/>
    <w:rsid w:val="00680F22"/>
    <w:rsid w:val="006814C7"/>
    <w:rsid w:val="00682861"/>
    <w:rsid w:val="00683FF2"/>
    <w:rsid w:val="006868A0"/>
    <w:rsid w:val="00687774"/>
    <w:rsid w:val="00687B01"/>
    <w:rsid w:val="00690C7A"/>
    <w:rsid w:val="0069289D"/>
    <w:rsid w:val="00692E5A"/>
    <w:rsid w:val="006940BE"/>
    <w:rsid w:val="00694124"/>
    <w:rsid w:val="00696AE3"/>
    <w:rsid w:val="00697226"/>
    <w:rsid w:val="006A03DD"/>
    <w:rsid w:val="006A04F8"/>
    <w:rsid w:val="006A2D76"/>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CE7"/>
    <w:rsid w:val="00700DD7"/>
    <w:rsid w:val="007022A4"/>
    <w:rsid w:val="0070366F"/>
    <w:rsid w:val="007050AB"/>
    <w:rsid w:val="00705BB7"/>
    <w:rsid w:val="0070679A"/>
    <w:rsid w:val="00707C14"/>
    <w:rsid w:val="00711D92"/>
    <w:rsid w:val="00711F4D"/>
    <w:rsid w:val="00712577"/>
    <w:rsid w:val="0071289E"/>
    <w:rsid w:val="0071386C"/>
    <w:rsid w:val="00713A8C"/>
    <w:rsid w:val="0071587D"/>
    <w:rsid w:val="00717125"/>
    <w:rsid w:val="007226F5"/>
    <w:rsid w:val="007231DC"/>
    <w:rsid w:val="00724140"/>
    <w:rsid w:val="0072458B"/>
    <w:rsid w:val="00724D88"/>
    <w:rsid w:val="007251A4"/>
    <w:rsid w:val="00726166"/>
    <w:rsid w:val="00726253"/>
    <w:rsid w:val="00727AFC"/>
    <w:rsid w:val="00730561"/>
    <w:rsid w:val="00732AD0"/>
    <w:rsid w:val="00733FAE"/>
    <w:rsid w:val="007365B6"/>
    <w:rsid w:val="00737070"/>
    <w:rsid w:val="00740B0A"/>
    <w:rsid w:val="00740CAF"/>
    <w:rsid w:val="0074136E"/>
    <w:rsid w:val="0074199E"/>
    <w:rsid w:val="00741EFB"/>
    <w:rsid w:val="00742A00"/>
    <w:rsid w:val="007431E3"/>
    <w:rsid w:val="0074471F"/>
    <w:rsid w:val="00745349"/>
    <w:rsid w:val="00746416"/>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37CB"/>
    <w:rsid w:val="00784B29"/>
    <w:rsid w:val="00784D03"/>
    <w:rsid w:val="007850B5"/>
    <w:rsid w:val="00785397"/>
    <w:rsid w:val="00785559"/>
    <w:rsid w:val="007859E4"/>
    <w:rsid w:val="00785DC1"/>
    <w:rsid w:val="00786C0C"/>
    <w:rsid w:val="00786DF1"/>
    <w:rsid w:val="00787215"/>
    <w:rsid w:val="00790351"/>
    <w:rsid w:val="007921CE"/>
    <w:rsid w:val="00792B07"/>
    <w:rsid w:val="00793270"/>
    <w:rsid w:val="00793853"/>
    <w:rsid w:val="007942B4"/>
    <w:rsid w:val="00794FCB"/>
    <w:rsid w:val="00796BC8"/>
    <w:rsid w:val="007A073C"/>
    <w:rsid w:val="007A1B09"/>
    <w:rsid w:val="007A1FB0"/>
    <w:rsid w:val="007A2094"/>
    <w:rsid w:val="007A33B1"/>
    <w:rsid w:val="007A3A26"/>
    <w:rsid w:val="007A462E"/>
    <w:rsid w:val="007A4D7D"/>
    <w:rsid w:val="007A5189"/>
    <w:rsid w:val="007A5A1B"/>
    <w:rsid w:val="007A5B51"/>
    <w:rsid w:val="007A5FA4"/>
    <w:rsid w:val="007A6CC5"/>
    <w:rsid w:val="007B1C2B"/>
    <w:rsid w:val="007B212C"/>
    <w:rsid w:val="007B245D"/>
    <w:rsid w:val="007B2F03"/>
    <w:rsid w:val="007B3463"/>
    <w:rsid w:val="007B3CC4"/>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60A2"/>
    <w:rsid w:val="007D7444"/>
    <w:rsid w:val="007D7759"/>
    <w:rsid w:val="007D7C1C"/>
    <w:rsid w:val="007E143C"/>
    <w:rsid w:val="007E2C2C"/>
    <w:rsid w:val="007E3ADA"/>
    <w:rsid w:val="007E3E8E"/>
    <w:rsid w:val="007E4D21"/>
    <w:rsid w:val="007E6F09"/>
    <w:rsid w:val="007E6F92"/>
    <w:rsid w:val="007E7D37"/>
    <w:rsid w:val="007F064A"/>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4DE0"/>
    <w:rsid w:val="00835BB2"/>
    <w:rsid w:val="008373D6"/>
    <w:rsid w:val="00837953"/>
    <w:rsid w:val="00837971"/>
    <w:rsid w:val="00837B09"/>
    <w:rsid w:val="00842A56"/>
    <w:rsid w:val="00842C51"/>
    <w:rsid w:val="00843034"/>
    <w:rsid w:val="008437D5"/>
    <w:rsid w:val="00843E8E"/>
    <w:rsid w:val="00843FAA"/>
    <w:rsid w:val="008466B3"/>
    <w:rsid w:val="00847514"/>
    <w:rsid w:val="00847E27"/>
    <w:rsid w:val="008502AF"/>
    <w:rsid w:val="008511A9"/>
    <w:rsid w:val="00853D22"/>
    <w:rsid w:val="008559A3"/>
    <w:rsid w:val="00855FE0"/>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E51"/>
    <w:rsid w:val="00883722"/>
    <w:rsid w:val="00884604"/>
    <w:rsid w:val="00884C38"/>
    <w:rsid w:val="00885C6B"/>
    <w:rsid w:val="008900E5"/>
    <w:rsid w:val="0089036E"/>
    <w:rsid w:val="00893A32"/>
    <w:rsid w:val="00894863"/>
    <w:rsid w:val="00895367"/>
    <w:rsid w:val="008965B2"/>
    <w:rsid w:val="00896ABC"/>
    <w:rsid w:val="0089725C"/>
    <w:rsid w:val="008A0447"/>
    <w:rsid w:val="008A076E"/>
    <w:rsid w:val="008A0ACB"/>
    <w:rsid w:val="008A0DFF"/>
    <w:rsid w:val="008A1F22"/>
    <w:rsid w:val="008A25DE"/>
    <w:rsid w:val="008A2E69"/>
    <w:rsid w:val="008A3F66"/>
    <w:rsid w:val="008A5DDB"/>
    <w:rsid w:val="008A6CD7"/>
    <w:rsid w:val="008A7545"/>
    <w:rsid w:val="008B0063"/>
    <w:rsid w:val="008B06C7"/>
    <w:rsid w:val="008B1D63"/>
    <w:rsid w:val="008B696D"/>
    <w:rsid w:val="008C2315"/>
    <w:rsid w:val="008C25C8"/>
    <w:rsid w:val="008C4048"/>
    <w:rsid w:val="008C66F3"/>
    <w:rsid w:val="008C6AD5"/>
    <w:rsid w:val="008C6B72"/>
    <w:rsid w:val="008C6C72"/>
    <w:rsid w:val="008C7683"/>
    <w:rsid w:val="008D0BB5"/>
    <w:rsid w:val="008D1423"/>
    <w:rsid w:val="008D1E2C"/>
    <w:rsid w:val="008D1FAC"/>
    <w:rsid w:val="008D2022"/>
    <w:rsid w:val="008D2A24"/>
    <w:rsid w:val="008D2B36"/>
    <w:rsid w:val="008D48F1"/>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4E7D"/>
    <w:rsid w:val="008F5824"/>
    <w:rsid w:val="008F666A"/>
    <w:rsid w:val="008F6C15"/>
    <w:rsid w:val="008F7456"/>
    <w:rsid w:val="008F74A2"/>
    <w:rsid w:val="008F7584"/>
    <w:rsid w:val="0090014E"/>
    <w:rsid w:val="00901794"/>
    <w:rsid w:val="009036E6"/>
    <w:rsid w:val="00904B1C"/>
    <w:rsid w:val="00904FA8"/>
    <w:rsid w:val="009050AA"/>
    <w:rsid w:val="009052CA"/>
    <w:rsid w:val="00905810"/>
    <w:rsid w:val="0090643F"/>
    <w:rsid w:val="009076D8"/>
    <w:rsid w:val="00910470"/>
    <w:rsid w:val="00911044"/>
    <w:rsid w:val="00912E24"/>
    <w:rsid w:val="0091335C"/>
    <w:rsid w:val="00914112"/>
    <w:rsid w:val="009145C9"/>
    <w:rsid w:val="00914EB8"/>
    <w:rsid w:val="00915CAB"/>
    <w:rsid w:val="00915EB5"/>
    <w:rsid w:val="00920C09"/>
    <w:rsid w:val="00922A56"/>
    <w:rsid w:val="0092343D"/>
    <w:rsid w:val="0092447B"/>
    <w:rsid w:val="00924CF9"/>
    <w:rsid w:val="00924D7D"/>
    <w:rsid w:val="00925DD4"/>
    <w:rsid w:val="0093085A"/>
    <w:rsid w:val="00930F2E"/>
    <w:rsid w:val="009312F5"/>
    <w:rsid w:val="0093283C"/>
    <w:rsid w:val="0093650C"/>
    <w:rsid w:val="00936939"/>
    <w:rsid w:val="0093727C"/>
    <w:rsid w:val="009373A3"/>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562B8"/>
    <w:rsid w:val="00960AE4"/>
    <w:rsid w:val="00962398"/>
    <w:rsid w:val="00962E55"/>
    <w:rsid w:val="00962EDA"/>
    <w:rsid w:val="00964A52"/>
    <w:rsid w:val="00964A6E"/>
    <w:rsid w:val="009653A0"/>
    <w:rsid w:val="009659C3"/>
    <w:rsid w:val="00965CA4"/>
    <w:rsid w:val="00966D7F"/>
    <w:rsid w:val="009702A0"/>
    <w:rsid w:val="00971E86"/>
    <w:rsid w:val="00972D7A"/>
    <w:rsid w:val="0097346C"/>
    <w:rsid w:val="00973E63"/>
    <w:rsid w:val="009747D7"/>
    <w:rsid w:val="0097491E"/>
    <w:rsid w:val="00975980"/>
    <w:rsid w:val="009762F3"/>
    <w:rsid w:val="00977D1C"/>
    <w:rsid w:val="009809A8"/>
    <w:rsid w:val="00980D04"/>
    <w:rsid w:val="00982035"/>
    <w:rsid w:val="00982755"/>
    <w:rsid w:val="00983828"/>
    <w:rsid w:val="00983EF0"/>
    <w:rsid w:val="00985048"/>
    <w:rsid w:val="00985F21"/>
    <w:rsid w:val="00986713"/>
    <w:rsid w:val="0098723D"/>
    <w:rsid w:val="00987645"/>
    <w:rsid w:val="00987ABB"/>
    <w:rsid w:val="0099304B"/>
    <w:rsid w:val="0099593B"/>
    <w:rsid w:val="00996152"/>
    <w:rsid w:val="0099634B"/>
    <w:rsid w:val="009963A1"/>
    <w:rsid w:val="009963EE"/>
    <w:rsid w:val="00997D07"/>
    <w:rsid w:val="009A0B56"/>
    <w:rsid w:val="009A155F"/>
    <w:rsid w:val="009A21CA"/>
    <w:rsid w:val="009A2616"/>
    <w:rsid w:val="009A2977"/>
    <w:rsid w:val="009A29DB"/>
    <w:rsid w:val="009A4C7A"/>
    <w:rsid w:val="009A5C3D"/>
    <w:rsid w:val="009A7CEC"/>
    <w:rsid w:val="009B0095"/>
    <w:rsid w:val="009B1AAA"/>
    <w:rsid w:val="009B2D47"/>
    <w:rsid w:val="009B339E"/>
    <w:rsid w:val="009B4281"/>
    <w:rsid w:val="009B5389"/>
    <w:rsid w:val="009B74E0"/>
    <w:rsid w:val="009B7CEC"/>
    <w:rsid w:val="009C0644"/>
    <w:rsid w:val="009C2DD9"/>
    <w:rsid w:val="009C2FC2"/>
    <w:rsid w:val="009C3A6B"/>
    <w:rsid w:val="009C431A"/>
    <w:rsid w:val="009C48F0"/>
    <w:rsid w:val="009C52BF"/>
    <w:rsid w:val="009D154A"/>
    <w:rsid w:val="009D2FA6"/>
    <w:rsid w:val="009D4149"/>
    <w:rsid w:val="009D5BF6"/>
    <w:rsid w:val="009D720A"/>
    <w:rsid w:val="009D7CA5"/>
    <w:rsid w:val="009D7FF0"/>
    <w:rsid w:val="009E0A41"/>
    <w:rsid w:val="009E0F5E"/>
    <w:rsid w:val="009E1ED9"/>
    <w:rsid w:val="009E2204"/>
    <w:rsid w:val="009E27D8"/>
    <w:rsid w:val="009E3264"/>
    <w:rsid w:val="009E32C7"/>
    <w:rsid w:val="009E3737"/>
    <w:rsid w:val="009E3E94"/>
    <w:rsid w:val="009E4EA9"/>
    <w:rsid w:val="009E561C"/>
    <w:rsid w:val="009F0BD5"/>
    <w:rsid w:val="009F2E19"/>
    <w:rsid w:val="009F2F53"/>
    <w:rsid w:val="009F31B2"/>
    <w:rsid w:val="009F544A"/>
    <w:rsid w:val="009F5C0F"/>
    <w:rsid w:val="00A00849"/>
    <w:rsid w:val="00A01590"/>
    <w:rsid w:val="00A019A0"/>
    <w:rsid w:val="00A020E3"/>
    <w:rsid w:val="00A02BE7"/>
    <w:rsid w:val="00A0370B"/>
    <w:rsid w:val="00A03803"/>
    <w:rsid w:val="00A06702"/>
    <w:rsid w:val="00A067F2"/>
    <w:rsid w:val="00A06B3E"/>
    <w:rsid w:val="00A0724A"/>
    <w:rsid w:val="00A1004D"/>
    <w:rsid w:val="00A10CBA"/>
    <w:rsid w:val="00A13764"/>
    <w:rsid w:val="00A14AE7"/>
    <w:rsid w:val="00A14D00"/>
    <w:rsid w:val="00A15416"/>
    <w:rsid w:val="00A15684"/>
    <w:rsid w:val="00A15C17"/>
    <w:rsid w:val="00A16078"/>
    <w:rsid w:val="00A16C00"/>
    <w:rsid w:val="00A1783D"/>
    <w:rsid w:val="00A206CA"/>
    <w:rsid w:val="00A22282"/>
    <w:rsid w:val="00A2376E"/>
    <w:rsid w:val="00A244EE"/>
    <w:rsid w:val="00A253EE"/>
    <w:rsid w:val="00A2610B"/>
    <w:rsid w:val="00A27B50"/>
    <w:rsid w:val="00A27B5D"/>
    <w:rsid w:val="00A310AD"/>
    <w:rsid w:val="00A311CA"/>
    <w:rsid w:val="00A33D79"/>
    <w:rsid w:val="00A35388"/>
    <w:rsid w:val="00A3687E"/>
    <w:rsid w:val="00A41CD4"/>
    <w:rsid w:val="00A42002"/>
    <w:rsid w:val="00A43A37"/>
    <w:rsid w:val="00A44C86"/>
    <w:rsid w:val="00A45B20"/>
    <w:rsid w:val="00A50A1B"/>
    <w:rsid w:val="00A516F4"/>
    <w:rsid w:val="00A52D68"/>
    <w:rsid w:val="00A52EAF"/>
    <w:rsid w:val="00A54423"/>
    <w:rsid w:val="00A5545C"/>
    <w:rsid w:val="00A56151"/>
    <w:rsid w:val="00A56493"/>
    <w:rsid w:val="00A56A3B"/>
    <w:rsid w:val="00A57C5B"/>
    <w:rsid w:val="00A611A5"/>
    <w:rsid w:val="00A6209B"/>
    <w:rsid w:val="00A6243F"/>
    <w:rsid w:val="00A6380F"/>
    <w:rsid w:val="00A63DBB"/>
    <w:rsid w:val="00A67EA4"/>
    <w:rsid w:val="00A74002"/>
    <w:rsid w:val="00A745F3"/>
    <w:rsid w:val="00A74637"/>
    <w:rsid w:val="00A74810"/>
    <w:rsid w:val="00A757C4"/>
    <w:rsid w:val="00A775AA"/>
    <w:rsid w:val="00A77CA6"/>
    <w:rsid w:val="00A77D08"/>
    <w:rsid w:val="00A80D6F"/>
    <w:rsid w:val="00A80E49"/>
    <w:rsid w:val="00A81B35"/>
    <w:rsid w:val="00A81C6E"/>
    <w:rsid w:val="00A82445"/>
    <w:rsid w:val="00A82E65"/>
    <w:rsid w:val="00A837A8"/>
    <w:rsid w:val="00A849F3"/>
    <w:rsid w:val="00A84EBD"/>
    <w:rsid w:val="00A84F2F"/>
    <w:rsid w:val="00A850C5"/>
    <w:rsid w:val="00A863EA"/>
    <w:rsid w:val="00A86E6D"/>
    <w:rsid w:val="00A873EB"/>
    <w:rsid w:val="00A874C8"/>
    <w:rsid w:val="00A90783"/>
    <w:rsid w:val="00A909E3"/>
    <w:rsid w:val="00A92A2B"/>
    <w:rsid w:val="00A93696"/>
    <w:rsid w:val="00A93FF3"/>
    <w:rsid w:val="00A94C70"/>
    <w:rsid w:val="00A95577"/>
    <w:rsid w:val="00A95622"/>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1D0E"/>
    <w:rsid w:val="00AC3037"/>
    <w:rsid w:val="00AC3379"/>
    <w:rsid w:val="00AC46B1"/>
    <w:rsid w:val="00AC4D36"/>
    <w:rsid w:val="00AC5433"/>
    <w:rsid w:val="00AC55BF"/>
    <w:rsid w:val="00AC60BD"/>
    <w:rsid w:val="00AC7775"/>
    <w:rsid w:val="00AC7FBE"/>
    <w:rsid w:val="00AD04A9"/>
    <w:rsid w:val="00AD22CC"/>
    <w:rsid w:val="00AD4550"/>
    <w:rsid w:val="00AD544A"/>
    <w:rsid w:val="00AD7CB2"/>
    <w:rsid w:val="00AD7DCD"/>
    <w:rsid w:val="00AE0AA7"/>
    <w:rsid w:val="00AE0BC7"/>
    <w:rsid w:val="00AE25A0"/>
    <w:rsid w:val="00AE2D70"/>
    <w:rsid w:val="00AE38A7"/>
    <w:rsid w:val="00AE3D71"/>
    <w:rsid w:val="00AE454F"/>
    <w:rsid w:val="00AE49E6"/>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389"/>
    <w:rsid w:val="00B07FEE"/>
    <w:rsid w:val="00B14292"/>
    <w:rsid w:val="00B145D0"/>
    <w:rsid w:val="00B14B7E"/>
    <w:rsid w:val="00B14D98"/>
    <w:rsid w:val="00B15CD5"/>
    <w:rsid w:val="00B15F70"/>
    <w:rsid w:val="00B15F98"/>
    <w:rsid w:val="00B161FD"/>
    <w:rsid w:val="00B1687E"/>
    <w:rsid w:val="00B20654"/>
    <w:rsid w:val="00B217B9"/>
    <w:rsid w:val="00B21DAD"/>
    <w:rsid w:val="00B229B6"/>
    <w:rsid w:val="00B243AE"/>
    <w:rsid w:val="00B244AE"/>
    <w:rsid w:val="00B25548"/>
    <w:rsid w:val="00B25966"/>
    <w:rsid w:val="00B26088"/>
    <w:rsid w:val="00B2734B"/>
    <w:rsid w:val="00B324C0"/>
    <w:rsid w:val="00B33F49"/>
    <w:rsid w:val="00B366EA"/>
    <w:rsid w:val="00B36CF8"/>
    <w:rsid w:val="00B36D59"/>
    <w:rsid w:val="00B37831"/>
    <w:rsid w:val="00B40323"/>
    <w:rsid w:val="00B40587"/>
    <w:rsid w:val="00B41D95"/>
    <w:rsid w:val="00B43413"/>
    <w:rsid w:val="00B44E7F"/>
    <w:rsid w:val="00B46BB0"/>
    <w:rsid w:val="00B509BD"/>
    <w:rsid w:val="00B51098"/>
    <w:rsid w:val="00B52768"/>
    <w:rsid w:val="00B53F5A"/>
    <w:rsid w:val="00B543AD"/>
    <w:rsid w:val="00B55D1F"/>
    <w:rsid w:val="00B5623E"/>
    <w:rsid w:val="00B5757C"/>
    <w:rsid w:val="00B57A1A"/>
    <w:rsid w:val="00B60677"/>
    <w:rsid w:val="00B63618"/>
    <w:rsid w:val="00B6554C"/>
    <w:rsid w:val="00B66D5D"/>
    <w:rsid w:val="00B72005"/>
    <w:rsid w:val="00B72371"/>
    <w:rsid w:val="00B72DFE"/>
    <w:rsid w:val="00B75A9F"/>
    <w:rsid w:val="00B7678D"/>
    <w:rsid w:val="00B767C7"/>
    <w:rsid w:val="00B778A6"/>
    <w:rsid w:val="00B779D5"/>
    <w:rsid w:val="00B83075"/>
    <w:rsid w:val="00B85093"/>
    <w:rsid w:val="00B85FA2"/>
    <w:rsid w:val="00B871D2"/>
    <w:rsid w:val="00B87462"/>
    <w:rsid w:val="00B8769A"/>
    <w:rsid w:val="00B878C3"/>
    <w:rsid w:val="00B90623"/>
    <w:rsid w:val="00B90D32"/>
    <w:rsid w:val="00B92708"/>
    <w:rsid w:val="00B936AB"/>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44BB"/>
    <w:rsid w:val="00BB5779"/>
    <w:rsid w:val="00BB5F57"/>
    <w:rsid w:val="00BB63A5"/>
    <w:rsid w:val="00BB6662"/>
    <w:rsid w:val="00BB7BE1"/>
    <w:rsid w:val="00BC148F"/>
    <w:rsid w:val="00BC17A0"/>
    <w:rsid w:val="00BC21DB"/>
    <w:rsid w:val="00BC3B10"/>
    <w:rsid w:val="00BC4401"/>
    <w:rsid w:val="00BD017A"/>
    <w:rsid w:val="00BD2AF2"/>
    <w:rsid w:val="00BD2EAC"/>
    <w:rsid w:val="00BD3C73"/>
    <w:rsid w:val="00BD421A"/>
    <w:rsid w:val="00BD439C"/>
    <w:rsid w:val="00BD6832"/>
    <w:rsid w:val="00BE1440"/>
    <w:rsid w:val="00BE18EF"/>
    <w:rsid w:val="00BE24A0"/>
    <w:rsid w:val="00BE5245"/>
    <w:rsid w:val="00BE6837"/>
    <w:rsid w:val="00BF18D2"/>
    <w:rsid w:val="00BF1A2D"/>
    <w:rsid w:val="00BF1C23"/>
    <w:rsid w:val="00BF264D"/>
    <w:rsid w:val="00BF7D6A"/>
    <w:rsid w:val="00C00264"/>
    <w:rsid w:val="00C01E51"/>
    <w:rsid w:val="00C05CC4"/>
    <w:rsid w:val="00C06575"/>
    <w:rsid w:val="00C114A7"/>
    <w:rsid w:val="00C14BEC"/>
    <w:rsid w:val="00C179D4"/>
    <w:rsid w:val="00C211CC"/>
    <w:rsid w:val="00C218F8"/>
    <w:rsid w:val="00C21C5A"/>
    <w:rsid w:val="00C23912"/>
    <w:rsid w:val="00C23C74"/>
    <w:rsid w:val="00C2628A"/>
    <w:rsid w:val="00C262FB"/>
    <w:rsid w:val="00C26C25"/>
    <w:rsid w:val="00C275CC"/>
    <w:rsid w:val="00C31B7D"/>
    <w:rsid w:val="00C325A2"/>
    <w:rsid w:val="00C32AFE"/>
    <w:rsid w:val="00C33E52"/>
    <w:rsid w:val="00C345B6"/>
    <w:rsid w:val="00C34D5B"/>
    <w:rsid w:val="00C35D65"/>
    <w:rsid w:val="00C36010"/>
    <w:rsid w:val="00C3643C"/>
    <w:rsid w:val="00C373A6"/>
    <w:rsid w:val="00C40C49"/>
    <w:rsid w:val="00C4230E"/>
    <w:rsid w:val="00C42C3A"/>
    <w:rsid w:val="00C4330A"/>
    <w:rsid w:val="00C45734"/>
    <w:rsid w:val="00C470DB"/>
    <w:rsid w:val="00C47BFA"/>
    <w:rsid w:val="00C50BB7"/>
    <w:rsid w:val="00C52C1C"/>
    <w:rsid w:val="00C5346B"/>
    <w:rsid w:val="00C54D98"/>
    <w:rsid w:val="00C565B1"/>
    <w:rsid w:val="00C56DD3"/>
    <w:rsid w:val="00C57173"/>
    <w:rsid w:val="00C61760"/>
    <w:rsid w:val="00C61FB4"/>
    <w:rsid w:val="00C62A13"/>
    <w:rsid w:val="00C64F59"/>
    <w:rsid w:val="00C6566D"/>
    <w:rsid w:val="00C662F1"/>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5B20"/>
    <w:rsid w:val="00C85E6E"/>
    <w:rsid w:val="00C86B19"/>
    <w:rsid w:val="00C874DE"/>
    <w:rsid w:val="00C87E15"/>
    <w:rsid w:val="00C92F28"/>
    <w:rsid w:val="00C93BBC"/>
    <w:rsid w:val="00C9480D"/>
    <w:rsid w:val="00C96156"/>
    <w:rsid w:val="00CA1196"/>
    <w:rsid w:val="00CA1555"/>
    <w:rsid w:val="00CA163A"/>
    <w:rsid w:val="00CA17D7"/>
    <w:rsid w:val="00CA2998"/>
    <w:rsid w:val="00CA352C"/>
    <w:rsid w:val="00CA3637"/>
    <w:rsid w:val="00CA3A62"/>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AA2"/>
    <w:rsid w:val="00CB6C7A"/>
    <w:rsid w:val="00CB7B3C"/>
    <w:rsid w:val="00CC0ED0"/>
    <w:rsid w:val="00CC1872"/>
    <w:rsid w:val="00CC2DEC"/>
    <w:rsid w:val="00CC3EC0"/>
    <w:rsid w:val="00CC4995"/>
    <w:rsid w:val="00CC538F"/>
    <w:rsid w:val="00CC78D4"/>
    <w:rsid w:val="00CC7F3F"/>
    <w:rsid w:val="00CD544A"/>
    <w:rsid w:val="00CE33F1"/>
    <w:rsid w:val="00CE35B0"/>
    <w:rsid w:val="00CE51BF"/>
    <w:rsid w:val="00CE57F9"/>
    <w:rsid w:val="00CE7044"/>
    <w:rsid w:val="00CF06B9"/>
    <w:rsid w:val="00CF0AE6"/>
    <w:rsid w:val="00CF3A31"/>
    <w:rsid w:val="00CF542C"/>
    <w:rsid w:val="00CF5942"/>
    <w:rsid w:val="00CF691F"/>
    <w:rsid w:val="00CF6C26"/>
    <w:rsid w:val="00CF6D76"/>
    <w:rsid w:val="00D00D01"/>
    <w:rsid w:val="00D010A7"/>
    <w:rsid w:val="00D04B4D"/>
    <w:rsid w:val="00D076DA"/>
    <w:rsid w:val="00D11F45"/>
    <w:rsid w:val="00D13B0A"/>
    <w:rsid w:val="00D13C7E"/>
    <w:rsid w:val="00D1427E"/>
    <w:rsid w:val="00D14B88"/>
    <w:rsid w:val="00D16D78"/>
    <w:rsid w:val="00D16EBE"/>
    <w:rsid w:val="00D171A0"/>
    <w:rsid w:val="00D17D66"/>
    <w:rsid w:val="00D203E3"/>
    <w:rsid w:val="00D20FF9"/>
    <w:rsid w:val="00D21C59"/>
    <w:rsid w:val="00D237DB"/>
    <w:rsid w:val="00D2388F"/>
    <w:rsid w:val="00D23C04"/>
    <w:rsid w:val="00D30C55"/>
    <w:rsid w:val="00D3128C"/>
    <w:rsid w:val="00D32021"/>
    <w:rsid w:val="00D322E0"/>
    <w:rsid w:val="00D327BD"/>
    <w:rsid w:val="00D331B3"/>
    <w:rsid w:val="00D3323B"/>
    <w:rsid w:val="00D332F7"/>
    <w:rsid w:val="00D34990"/>
    <w:rsid w:val="00D34E44"/>
    <w:rsid w:val="00D35AED"/>
    <w:rsid w:val="00D36375"/>
    <w:rsid w:val="00D37FC4"/>
    <w:rsid w:val="00D40886"/>
    <w:rsid w:val="00D40B48"/>
    <w:rsid w:val="00D41012"/>
    <w:rsid w:val="00D419FE"/>
    <w:rsid w:val="00D43686"/>
    <w:rsid w:val="00D44C3E"/>
    <w:rsid w:val="00D471E0"/>
    <w:rsid w:val="00D4783B"/>
    <w:rsid w:val="00D478B8"/>
    <w:rsid w:val="00D51412"/>
    <w:rsid w:val="00D52454"/>
    <w:rsid w:val="00D53FE9"/>
    <w:rsid w:val="00D5568B"/>
    <w:rsid w:val="00D5587F"/>
    <w:rsid w:val="00D55F6E"/>
    <w:rsid w:val="00D5631B"/>
    <w:rsid w:val="00D56797"/>
    <w:rsid w:val="00D56EE5"/>
    <w:rsid w:val="00D56FAB"/>
    <w:rsid w:val="00D575BE"/>
    <w:rsid w:val="00D60276"/>
    <w:rsid w:val="00D630BB"/>
    <w:rsid w:val="00D63D96"/>
    <w:rsid w:val="00D649ED"/>
    <w:rsid w:val="00D67A1D"/>
    <w:rsid w:val="00D726FB"/>
    <w:rsid w:val="00D72977"/>
    <w:rsid w:val="00D742A4"/>
    <w:rsid w:val="00D77070"/>
    <w:rsid w:val="00D80D70"/>
    <w:rsid w:val="00D81591"/>
    <w:rsid w:val="00D8296D"/>
    <w:rsid w:val="00D82C53"/>
    <w:rsid w:val="00D830C1"/>
    <w:rsid w:val="00D83B08"/>
    <w:rsid w:val="00D84A76"/>
    <w:rsid w:val="00D84C35"/>
    <w:rsid w:val="00D84DF8"/>
    <w:rsid w:val="00D86D70"/>
    <w:rsid w:val="00D87323"/>
    <w:rsid w:val="00D90BCF"/>
    <w:rsid w:val="00D9171F"/>
    <w:rsid w:val="00D92608"/>
    <w:rsid w:val="00D94621"/>
    <w:rsid w:val="00D9557E"/>
    <w:rsid w:val="00D95D08"/>
    <w:rsid w:val="00D96778"/>
    <w:rsid w:val="00D96FE0"/>
    <w:rsid w:val="00D97914"/>
    <w:rsid w:val="00D97B32"/>
    <w:rsid w:val="00DA146D"/>
    <w:rsid w:val="00DA1A3B"/>
    <w:rsid w:val="00DA2D9C"/>
    <w:rsid w:val="00DA3CF5"/>
    <w:rsid w:val="00DA45B0"/>
    <w:rsid w:val="00DA4F39"/>
    <w:rsid w:val="00DA561B"/>
    <w:rsid w:val="00DA604D"/>
    <w:rsid w:val="00DA6C1F"/>
    <w:rsid w:val="00DA6E8C"/>
    <w:rsid w:val="00DB02E9"/>
    <w:rsid w:val="00DB0619"/>
    <w:rsid w:val="00DB0784"/>
    <w:rsid w:val="00DB1135"/>
    <w:rsid w:val="00DB18BC"/>
    <w:rsid w:val="00DB1D86"/>
    <w:rsid w:val="00DB379A"/>
    <w:rsid w:val="00DB5069"/>
    <w:rsid w:val="00DB68D7"/>
    <w:rsid w:val="00DB738D"/>
    <w:rsid w:val="00DC1A20"/>
    <w:rsid w:val="00DC2D14"/>
    <w:rsid w:val="00DC31D9"/>
    <w:rsid w:val="00DC5149"/>
    <w:rsid w:val="00DC53ED"/>
    <w:rsid w:val="00DC745B"/>
    <w:rsid w:val="00DC7760"/>
    <w:rsid w:val="00DD14D3"/>
    <w:rsid w:val="00DD17D6"/>
    <w:rsid w:val="00DD1EF7"/>
    <w:rsid w:val="00DD5588"/>
    <w:rsid w:val="00DD7BE1"/>
    <w:rsid w:val="00DE0A37"/>
    <w:rsid w:val="00DE1958"/>
    <w:rsid w:val="00DE37EE"/>
    <w:rsid w:val="00DE3A2F"/>
    <w:rsid w:val="00DE431B"/>
    <w:rsid w:val="00DE4AA2"/>
    <w:rsid w:val="00DE5362"/>
    <w:rsid w:val="00DE76B9"/>
    <w:rsid w:val="00DF0EAE"/>
    <w:rsid w:val="00DF2ACA"/>
    <w:rsid w:val="00DF2CD8"/>
    <w:rsid w:val="00DF30D3"/>
    <w:rsid w:val="00DF4246"/>
    <w:rsid w:val="00DF5535"/>
    <w:rsid w:val="00DF68EA"/>
    <w:rsid w:val="00E01B88"/>
    <w:rsid w:val="00E030FA"/>
    <w:rsid w:val="00E05051"/>
    <w:rsid w:val="00E05FF1"/>
    <w:rsid w:val="00E10B7F"/>
    <w:rsid w:val="00E14139"/>
    <w:rsid w:val="00E14B35"/>
    <w:rsid w:val="00E1574D"/>
    <w:rsid w:val="00E1603A"/>
    <w:rsid w:val="00E208E0"/>
    <w:rsid w:val="00E22256"/>
    <w:rsid w:val="00E22638"/>
    <w:rsid w:val="00E22749"/>
    <w:rsid w:val="00E240F0"/>
    <w:rsid w:val="00E2572B"/>
    <w:rsid w:val="00E257A1"/>
    <w:rsid w:val="00E2717D"/>
    <w:rsid w:val="00E27DF1"/>
    <w:rsid w:val="00E30FAD"/>
    <w:rsid w:val="00E31A0E"/>
    <w:rsid w:val="00E32457"/>
    <w:rsid w:val="00E32849"/>
    <w:rsid w:val="00E33A71"/>
    <w:rsid w:val="00E34EAF"/>
    <w:rsid w:val="00E35F8F"/>
    <w:rsid w:val="00E36CB4"/>
    <w:rsid w:val="00E4032A"/>
    <w:rsid w:val="00E43CA8"/>
    <w:rsid w:val="00E45881"/>
    <w:rsid w:val="00E460F4"/>
    <w:rsid w:val="00E46709"/>
    <w:rsid w:val="00E469A5"/>
    <w:rsid w:val="00E543D5"/>
    <w:rsid w:val="00E54991"/>
    <w:rsid w:val="00E56BE9"/>
    <w:rsid w:val="00E56E7E"/>
    <w:rsid w:val="00E579ED"/>
    <w:rsid w:val="00E602EC"/>
    <w:rsid w:val="00E608FE"/>
    <w:rsid w:val="00E60D21"/>
    <w:rsid w:val="00E62349"/>
    <w:rsid w:val="00E625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591"/>
    <w:rsid w:val="00E94F2E"/>
    <w:rsid w:val="00E95724"/>
    <w:rsid w:val="00EA1519"/>
    <w:rsid w:val="00EA36BC"/>
    <w:rsid w:val="00EA3866"/>
    <w:rsid w:val="00EA3FBC"/>
    <w:rsid w:val="00EA47E6"/>
    <w:rsid w:val="00EA5083"/>
    <w:rsid w:val="00EA5284"/>
    <w:rsid w:val="00EA6126"/>
    <w:rsid w:val="00EA7B20"/>
    <w:rsid w:val="00EA7B59"/>
    <w:rsid w:val="00EB0332"/>
    <w:rsid w:val="00EB0CFC"/>
    <w:rsid w:val="00EB210E"/>
    <w:rsid w:val="00EB4708"/>
    <w:rsid w:val="00EB4D5F"/>
    <w:rsid w:val="00EB6102"/>
    <w:rsid w:val="00EC0A95"/>
    <w:rsid w:val="00EC21E4"/>
    <w:rsid w:val="00EC3689"/>
    <w:rsid w:val="00EC3CAD"/>
    <w:rsid w:val="00EC5029"/>
    <w:rsid w:val="00EC5707"/>
    <w:rsid w:val="00EC6782"/>
    <w:rsid w:val="00EC6F42"/>
    <w:rsid w:val="00EC71FE"/>
    <w:rsid w:val="00EC7299"/>
    <w:rsid w:val="00EC7A31"/>
    <w:rsid w:val="00ED1999"/>
    <w:rsid w:val="00ED484F"/>
    <w:rsid w:val="00ED5B27"/>
    <w:rsid w:val="00ED6DB3"/>
    <w:rsid w:val="00ED751A"/>
    <w:rsid w:val="00ED7AAF"/>
    <w:rsid w:val="00ED7D75"/>
    <w:rsid w:val="00EE25DC"/>
    <w:rsid w:val="00EE39FB"/>
    <w:rsid w:val="00EE4598"/>
    <w:rsid w:val="00EE531B"/>
    <w:rsid w:val="00EE6762"/>
    <w:rsid w:val="00EE6BCA"/>
    <w:rsid w:val="00EF03C6"/>
    <w:rsid w:val="00EF0524"/>
    <w:rsid w:val="00EF0A13"/>
    <w:rsid w:val="00EF1726"/>
    <w:rsid w:val="00EF1E0D"/>
    <w:rsid w:val="00EF2602"/>
    <w:rsid w:val="00EF326B"/>
    <w:rsid w:val="00EF382C"/>
    <w:rsid w:val="00EF3CC8"/>
    <w:rsid w:val="00EF4C8C"/>
    <w:rsid w:val="00EF6132"/>
    <w:rsid w:val="00EF6EB7"/>
    <w:rsid w:val="00F029E9"/>
    <w:rsid w:val="00F0358D"/>
    <w:rsid w:val="00F03823"/>
    <w:rsid w:val="00F03DBD"/>
    <w:rsid w:val="00F04D27"/>
    <w:rsid w:val="00F05502"/>
    <w:rsid w:val="00F0581C"/>
    <w:rsid w:val="00F05CE9"/>
    <w:rsid w:val="00F06032"/>
    <w:rsid w:val="00F0715A"/>
    <w:rsid w:val="00F07891"/>
    <w:rsid w:val="00F07A51"/>
    <w:rsid w:val="00F07AB6"/>
    <w:rsid w:val="00F148FF"/>
    <w:rsid w:val="00F15ABC"/>
    <w:rsid w:val="00F16652"/>
    <w:rsid w:val="00F178B1"/>
    <w:rsid w:val="00F17924"/>
    <w:rsid w:val="00F20C15"/>
    <w:rsid w:val="00F21F9F"/>
    <w:rsid w:val="00F27306"/>
    <w:rsid w:val="00F2774F"/>
    <w:rsid w:val="00F3114A"/>
    <w:rsid w:val="00F3192B"/>
    <w:rsid w:val="00F31BD3"/>
    <w:rsid w:val="00F32746"/>
    <w:rsid w:val="00F335FE"/>
    <w:rsid w:val="00F353DB"/>
    <w:rsid w:val="00F40919"/>
    <w:rsid w:val="00F420FA"/>
    <w:rsid w:val="00F43486"/>
    <w:rsid w:val="00F43EDB"/>
    <w:rsid w:val="00F453D7"/>
    <w:rsid w:val="00F45578"/>
    <w:rsid w:val="00F465B8"/>
    <w:rsid w:val="00F46A57"/>
    <w:rsid w:val="00F46F52"/>
    <w:rsid w:val="00F475F5"/>
    <w:rsid w:val="00F50427"/>
    <w:rsid w:val="00F50552"/>
    <w:rsid w:val="00F51355"/>
    <w:rsid w:val="00F5152C"/>
    <w:rsid w:val="00F52F60"/>
    <w:rsid w:val="00F5347D"/>
    <w:rsid w:val="00F53CD6"/>
    <w:rsid w:val="00F553F1"/>
    <w:rsid w:val="00F570DD"/>
    <w:rsid w:val="00F60AF5"/>
    <w:rsid w:val="00F626B8"/>
    <w:rsid w:val="00F62BC9"/>
    <w:rsid w:val="00F62E1A"/>
    <w:rsid w:val="00F6338A"/>
    <w:rsid w:val="00F635F0"/>
    <w:rsid w:val="00F64854"/>
    <w:rsid w:val="00F669CD"/>
    <w:rsid w:val="00F67584"/>
    <w:rsid w:val="00F70030"/>
    <w:rsid w:val="00F703CF"/>
    <w:rsid w:val="00F71662"/>
    <w:rsid w:val="00F72475"/>
    <w:rsid w:val="00F74E2A"/>
    <w:rsid w:val="00F7601C"/>
    <w:rsid w:val="00F7634F"/>
    <w:rsid w:val="00F80010"/>
    <w:rsid w:val="00F80F7D"/>
    <w:rsid w:val="00F81CA7"/>
    <w:rsid w:val="00F83E4E"/>
    <w:rsid w:val="00F868EB"/>
    <w:rsid w:val="00F90DD1"/>
    <w:rsid w:val="00F91434"/>
    <w:rsid w:val="00F9221D"/>
    <w:rsid w:val="00F93C4E"/>
    <w:rsid w:val="00F9412C"/>
    <w:rsid w:val="00F94890"/>
    <w:rsid w:val="00F9533D"/>
    <w:rsid w:val="00F9541A"/>
    <w:rsid w:val="00F96358"/>
    <w:rsid w:val="00FA24EA"/>
    <w:rsid w:val="00FA4E55"/>
    <w:rsid w:val="00FB0033"/>
    <w:rsid w:val="00FB0ACB"/>
    <w:rsid w:val="00FB2745"/>
    <w:rsid w:val="00FB2A3F"/>
    <w:rsid w:val="00FB2CB3"/>
    <w:rsid w:val="00FB46B5"/>
    <w:rsid w:val="00FB655A"/>
    <w:rsid w:val="00FC091E"/>
    <w:rsid w:val="00FC0DE2"/>
    <w:rsid w:val="00FC12B6"/>
    <w:rsid w:val="00FC1EB7"/>
    <w:rsid w:val="00FC2577"/>
    <w:rsid w:val="00FC34B5"/>
    <w:rsid w:val="00FC5959"/>
    <w:rsid w:val="00FC67A6"/>
    <w:rsid w:val="00FC699E"/>
    <w:rsid w:val="00FC6B62"/>
    <w:rsid w:val="00FC7767"/>
    <w:rsid w:val="00FC7BDC"/>
    <w:rsid w:val="00FD146A"/>
    <w:rsid w:val="00FD1543"/>
    <w:rsid w:val="00FD20F3"/>
    <w:rsid w:val="00FD2188"/>
    <w:rsid w:val="00FD2429"/>
    <w:rsid w:val="00FD28D8"/>
    <w:rsid w:val="00FD2C57"/>
    <w:rsid w:val="00FD3DF0"/>
    <w:rsid w:val="00FD4113"/>
    <w:rsid w:val="00FD5E2E"/>
    <w:rsid w:val="00FE1B3B"/>
    <w:rsid w:val="00FE1D86"/>
    <w:rsid w:val="00FE2679"/>
    <w:rsid w:val="00FE34ED"/>
    <w:rsid w:val="00FE4337"/>
    <w:rsid w:val="00FE4904"/>
    <w:rsid w:val="00FE4C69"/>
    <w:rsid w:val="00FE57EE"/>
    <w:rsid w:val="00FE58C7"/>
    <w:rsid w:val="00FE7588"/>
    <w:rsid w:val="00FF30CE"/>
    <w:rsid w:val="00FF37C2"/>
    <w:rsid w:val="00FF4D69"/>
    <w:rsid w:val="00FF4FAC"/>
    <w:rsid w:val="00FF508D"/>
    <w:rsid w:val="00FF624A"/>
    <w:rsid w:val="00FF7712"/>
    <w:rsid w:val="00FF79A9"/>
    <w:rsid w:val="00FF7BAE"/>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A37356D"/>
    <w:rsid w:val="0B8F2541"/>
    <w:rsid w:val="0DCB1BC3"/>
    <w:rsid w:val="0DE37B48"/>
    <w:rsid w:val="0E397051"/>
    <w:rsid w:val="0E537FC3"/>
    <w:rsid w:val="0E856EE6"/>
    <w:rsid w:val="0E861029"/>
    <w:rsid w:val="0EC6726F"/>
    <w:rsid w:val="0F4B692A"/>
    <w:rsid w:val="0FFF0A52"/>
    <w:rsid w:val="106519EC"/>
    <w:rsid w:val="108F3EB6"/>
    <w:rsid w:val="113E51CB"/>
    <w:rsid w:val="115171FB"/>
    <w:rsid w:val="116622C5"/>
    <w:rsid w:val="11A95B02"/>
    <w:rsid w:val="120C7C36"/>
    <w:rsid w:val="127C57D1"/>
    <w:rsid w:val="13163C28"/>
    <w:rsid w:val="136172A7"/>
    <w:rsid w:val="142349C8"/>
    <w:rsid w:val="162C5612"/>
    <w:rsid w:val="16BF7034"/>
    <w:rsid w:val="17C522FB"/>
    <w:rsid w:val="17DE18E5"/>
    <w:rsid w:val="17F74BD6"/>
    <w:rsid w:val="18805235"/>
    <w:rsid w:val="18A104D3"/>
    <w:rsid w:val="19B55AB3"/>
    <w:rsid w:val="19DD426E"/>
    <w:rsid w:val="1A9C317B"/>
    <w:rsid w:val="1AA470EC"/>
    <w:rsid w:val="1C041EE0"/>
    <w:rsid w:val="1D646708"/>
    <w:rsid w:val="1D6557FB"/>
    <w:rsid w:val="1DC03651"/>
    <w:rsid w:val="1EBEBACC"/>
    <w:rsid w:val="1EBF7192"/>
    <w:rsid w:val="1EF11CAE"/>
    <w:rsid w:val="1F31751A"/>
    <w:rsid w:val="1F31F7A1"/>
    <w:rsid w:val="1F7E4056"/>
    <w:rsid w:val="1FBF4E55"/>
    <w:rsid w:val="1FC78CFF"/>
    <w:rsid w:val="1FE55C39"/>
    <w:rsid w:val="1FFC1957"/>
    <w:rsid w:val="20040FEB"/>
    <w:rsid w:val="21701FA9"/>
    <w:rsid w:val="21E130F9"/>
    <w:rsid w:val="221B5564"/>
    <w:rsid w:val="221C32B7"/>
    <w:rsid w:val="222A03BD"/>
    <w:rsid w:val="2266371B"/>
    <w:rsid w:val="227B643E"/>
    <w:rsid w:val="22803907"/>
    <w:rsid w:val="22AC2254"/>
    <w:rsid w:val="22AE7071"/>
    <w:rsid w:val="22BF02BB"/>
    <w:rsid w:val="23406771"/>
    <w:rsid w:val="23575131"/>
    <w:rsid w:val="241C7B3C"/>
    <w:rsid w:val="242B24DF"/>
    <w:rsid w:val="242D7C97"/>
    <w:rsid w:val="24CC5CC8"/>
    <w:rsid w:val="24D317D8"/>
    <w:rsid w:val="25F45C2B"/>
    <w:rsid w:val="26B31186"/>
    <w:rsid w:val="26FB6832"/>
    <w:rsid w:val="27AF685B"/>
    <w:rsid w:val="27C841EF"/>
    <w:rsid w:val="27F3508A"/>
    <w:rsid w:val="27FA25B3"/>
    <w:rsid w:val="28ED0B6A"/>
    <w:rsid w:val="29301AA6"/>
    <w:rsid w:val="29890D1D"/>
    <w:rsid w:val="29DF4157"/>
    <w:rsid w:val="2A1F68E6"/>
    <w:rsid w:val="2A707334"/>
    <w:rsid w:val="2AA67E09"/>
    <w:rsid w:val="2B866286"/>
    <w:rsid w:val="2BBF51E4"/>
    <w:rsid w:val="2BDD749A"/>
    <w:rsid w:val="2BE05FF3"/>
    <w:rsid w:val="2CC4142B"/>
    <w:rsid w:val="2CDA3039"/>
    <w:rsid w:val="2CF215A6"/>
    <w:rsid w:val="2D465680"/>
    <w:rsid w:val="2D822664"/>
    <w:rsid w:val="2E210A49"/>
    <w:rsid w:val="2E5F196A"/>
    <w:rsid w:val="2E976651"/>
    <w:rsid w:val="2EB372F8"/>
    <w:rsid w:val="2ED72E9E"/>
    <w:rsid w:val="2EE61ACE"/>
    <w:rsid w:val="2F1B151A"/>
    <w:rsid w:val="2F772DD4"/>
    <w:rsid w:val="2FA1773B"/>
    <w:rsid w:val="2FA507F3"/>
    <w:rsid w:val="2FFF2B2A"/>
    <w:rsid w:val="303E0A07"/>
    <w:rsid w:val="305A3B95"/>
    <w:rsid w:val="312D0FFD"/>
    <w:rsid w:val="31D45E2B"/>
    <w:rsid w:val="31D870DD"/>
    <w:rsid w:val="3203475A"/>
    <w:rsid w:val="320C4E1B"/>
    <w:rsid w:val="32422633"/>
    <w:rsid w:val="32CA1AB5"/>
    <w:rsid w:val="32CA4316"/>
    <w:rsid w:val="32FF3914"/>
    <w:rsid w:val="331F06CE"/>
    <w:rsid w:val="332A5B91"/>
    <w:rsid w:val="33EB1C4D"/>
    <w:rsid w:val="342F19A0"/>
    <w:rsid w:val="344519DA"/>
    <w:rsid w:val="34471A3D"/>
    <w:rsid w:val="348E6CC8"/>
    <w:rsid w:val="355E29A1"/>
    <w:rsid w:val="361956B6"/>
    <w:rsid w:val="36726B1F"/>
    <w:rsid w:val="37275F79"/>
    <w:rsid w:val="37423DB7"/>
    <w:rsid w:val="374267C2"/>
    <w:rsid w:val="377756FB"/>
    <w:rsid w:val="378B6FC9"/>
    <w:rsid w:val="379640D5"/>
    <w:rsid w:val="37BE3A1B"/>
    <w:rsid w:val="3800089E"/>
    <w:rsid w:val="380B1D9A"/>
    <w:rsid w:val="38E21CF2"/>
    <w:rsid w:val="393802F5"/>
    <w:rsid w:val="396360C2"/>
    <w:rsid w:val="399B1433"/>
    <w:rsid w:val="39F96249"/>
    <w:rsid w:val="3AFFC741"/>
    <w:rsid w:val="3B0D0FD9"/>
    <w:rsid w:val="3B1829FB"/>
    <w:rsid w:val="3B3FFCFD"/>
    <w:rsid w:val="3BFFC5AA"/>
    <w:rsid w:val="3C4741CA"/>
    <w:rsid w:val="3C73C9D8"/>
    <w:rsid w:val="3C842F63"/>
    <w:rsid w:val="3CA3403D"/>
    <w:rsid w:val="3CDD7461"/>
    <w:rsid w:val="3D06174C"/>
    <w:rsid w:val="3D0A1843"/>
    <w:rsid w:val="3D876254"/>
    <w:rsid w:val="3D9F6FDD"/>
    <w:rsid w:val="3DED3D29"/>
    <w:rsid w:val="3E033769"/>
    <w:rsid w:val="3E227533"/>
    <w:rsid w:val="3EE91D34"/>
    <w:rsid w:val="3EEA117C"/>
    <w:rsid w:val="3EFC0235"/>
    <w:rsid w:val="3F3B8353"/>
    <w:rsid w:val="3F4807FB"/>
    <w:rsid w:val="3F6C182D"/>
    <w:rsid w:val="3F7722E4"/>
    <w:rsid w:val="3F7B876D"/>
    <w:rsid w:val="3F89400C"/>
    <w:rsid w:val="3FB7A5DE"/>
    <w:rsid w:val="3FDE3206"/>
    <w:rsid w:val="3FFD515A"/>
    <w:rsid w:val="40AE42A3"/>
    <w:rsid w:val="41132FEC"/>
    <w:rsid w:val="41B04259"/>
    <w:rsid w:val="41B1600A"/>
    <w:rsid w:val="41C06764"/>
    <w:rsid w:val="41D3555E"/>
    <w:rsid w:val="41D568DA"/>
    <w:rsid w:val="424E17F4"/>
    <w:rsid w:val="43D93B74"/>
    <w:rsid w:val="43F05E44"/>
    <w:rsid w:val="43FB1D2B"/>
    <w:rsid w:val="442D4F36"/>
    <w:rsid w:val="44EA5EFB"/>
    <w:rsid w:val="44F95853"/>
    <w:rsid w:val="458C4680"/>
    <w:rsid w:val="45906A27"/>
    <w:rsid w:val="474A1856"/>
    <w:rsid w:val="47863161"/>
    <w:rsid w:val="48094F09"/>
    <w:rsid w:val="48C87F22"/>
    <w:rsid w:val="49AC3932"/>
    <w:rsid w:val="49DE0681"/>
    <w:rsid w:val="4A4F4EC2"/>
    <w:rsid w:val="4B34573C"/>
    <w:rsid w:val="4B3738BB"/>
    <w:rsid w:val="4B7A7170"/>
    <w:rsid w:val="4B7C6BF7"/>
    <w:rsid w:val="4BDA5388"/>
    <w:rsid w:val="4CFB5359"/>
    <w:rsid w:val="4D4D1809"/>
    <w:rsid w:val="4E4A439A"/>
    <w:rsid w:val="4F001BCC"/>
    <w:rsid w:val="4F5218ED"/>
    <w:rsid w:val="4F784888"/>
    <w:rsid w:val="4FDB5896"/>
    <w:rsid w:val="4FE41E54"/>
    <w:rsid w:val="4FFFE86B"/>
    <w:rsid w:val="508D3093"/>
    <w:rsid w:val="509012EC"/>
    <w:rsid w:val="50BD2FA6"/>
    <w:rsid w:val="51932FAD"/>
    <w:rsid w:val="51F845EB"/>
    <w:rsid w:val="51FB360F"/>
    <w:rsid w:val="5221432D"/>
    <w:rsid w:val="52A60F92"/>
    <w:rsid w:val="52EE71FB"/>
    <w:rsid w:val="53524DED"/>
    <w:rsid w:val="53A139B4"/>
    <w:rsid w:val="53A86F18"/>
    <w:rsid w:val="53CB445D"/>
    <w:rsid w:val="548270CF"/>
    <w:rsid w:val="54D91622"/>
    <w:rsid w:val="54F01D45"/>
    <w:rsid w:val="565F310C"/>
    <w:rsid w:val="566A6020"/>
    <w:rsid w:val="56972C61"/>
    <w:rsid w:val="56E94433"/>
    <w:rsid w:val="5736A64D"/>
    <w:rsid w:val="573F860C"/>
    <w:rsid w:val="57D17909"/>
    <w:rsid w:val="58B27CC3"/>
    <w:rsid w:val="58D565A1"/>
    <w:rsid w:val="59115FAF"/>
    <w:rsid w:val="59260E57"/>
    <w:rsid w:val="594B1719"/>
    <w:rsid w:val="59BF009D"/>
    <w:rsid w:val="5A217E5B"/>
    <w:rsid w:val="5ADA210C"/>
    <w:rsid w:val="5AEE74A6"/>
    <w:rsid w:val="5AF75EB0"/>
    <w:rsid w:val="5B5C53E4"/>
    <w:rsid w:val="5B625BCE"/>
    <w:rsid w:val="5BE06CA5"/>
    <w:rsid w:val="5BFB3FFB"/>
    <w:rsid w:val="5C823256"/>
    <w:rsid w:val="5D3D1D71"/>
    <w:rsid w:val="5DE441AC"/>
    <w:rsid w:val="5DE46FAF"/>
    <w:rsid w:val="5DE7A303"/>
    <w:rsid w:val="5E0F5E3E"/>
    <w:rsid w:val="5E8763EC"/>
    <w:rsid w:val="5EB7567E"/>
    <w:rsid w:val="5ED42420"/>
    <w:rsid w:val="5EFE157D"/>
    <w:rsid w:val="5F6D6F85"/>
    <w:rsid w:val="5F770F26"/>
    <w:rsid w:val="5F7FA953"/>
    <w:rsid w:val="5FD7044A"/>
    <w:rsid w:val="5FD7ACE4"/>
    <w:rsid w:val="5FDBF106"/>
    <w:rsid w:val="5FE75D63"/>
    <w:rsid w:val="5FF6B3BE"/>
    <w:rsid w:val="60342F05"/>
    <w:rsid w:val="60507D65"/>
    <w:rsid w:val="60A52EB0"/>
    <w:rsid w:val="60FD28B6"/>
    <w:rsid w:val="617C5745"/>
    <w:rsid w:val="61A27384"/>
    <w:rsid w:val="61EA59E2"/>
    <w:rsid w:val="621B4097"/>
    <w:rsid w:val="624125B1"/>
    <w:rsid w:val="635F3637"/>
    <w:rsid w:val="63B2022D"/>
    <w:rsid w:val="63F87562"/>
    <w:rsid w:val="64085A7D"/>
    <w:rsid w:val="644A7D2D"/>
    <w:rsid w:val="64C268FF"/>
    <w:rsid w:val="6500635B"/>
    <w:rsid w:val="657F2909"/>
    <w:rsid w:val="65D66667"/>
    <w:rsid w:val="66D777FD"/>
    <w:rsid w:val="677D539D"/>
    <w:rsid w:val="678F513D"/>
    <w:rsid w:val="67ED7463"/>
    <w:rsid w:val="68773090"/>
    <w:rsid w:val="68C70F39"/>
    <w:rsid w:val="68D7106B"/>
    <w:rsid w:val="68EE41E3"/>
    <w:rsid w:val="69581DF6"/>
    <w:rsid w:val="69DF332A"/>
    <w:rsid w:val="69E35F50"/>
    <w:rsid w:val="6A6D6BA4"/>
    <w:rsid w:val="6A9308E3"/>
    <w:rsid w:val="6ABC739A"/>
    <w:rsid w:val="6BB11A6E"/>
    <w:rsid w:val="6BF46938"/>
    <w:rsid w:val="6C920AD6"/>
    <w:rsid w:val="6D023F42"/>
    <w:rsid w:val="6D974042"/>
    <w:rsid w:val="6DD01BE3"/>
    <w:rsid w:val="6E8C59CD"/>
    <w:rsid w:val="6F035A59"/>
    <w:rsid w:val="6F2D283B"/>
    <w:rsid w:val="6F483AD1"/>
    <w:rsid w:val="6F5F908F"/>
    <w:rsid w:val="6F6F40CF"/>
    <w:rsid w:val="6FA8F579"/>
    <w:rsid w:val="6FBD6092"/>
    <w:rsid w:val="6FC5102F"/>
    <w:rsid w:val="6FD22763"/>
    <w:rsid w:val="6FE11806"/>
    <w:rsid w:val="7037347A"/>
    <w:rsid w:val="706F4522"/>
    <w:rsid w:val="70B33B2D"/>
    <w:rsid w:val="70B93212"/>
    <w:rsid w:val="70DE4060"/>
    <w:rsid w:val="710D58AC"/>
    <w:rsid w:val="71761B9F"/>
    <w:rsid w:val="71FA13BB"/>
    <w:rsid w:val="720867EF"/>
    <w:rsid w:val="722C04C9"/>
    <w:rsid w:val="72CFC3FC"/>
    <w:rsid w:val="72EA28D9"/>
    <w:rsid w:val="72FF7D9B"/>
    <w:rsid w:val="731B16A2"/>
    <w:rsid w:val="73A79CD9"/>
    <w:rsid w:val="73D040CE"/>
    <w:rsid w:val="73E4411B"/>
    <w:rsid w:val="745D6409"/>
    <w:rsid w:val="746F11F1"/>
    <w:rsid w:val="74995177"/>
    <w:rsid w:val="74AB4FE5"/>
    <w:rsid w:val="74E41BEE"/>
    <w:rsid w:val="761F7F3A"/>
    <w:rsid w:val="76856420"/>
    <w:rsid w:val="76D74425"/>
    <w:rsid w:val="76EF5746"/>
    <w:rsid w:val="76FE86AA"/>
    <w:rsid w:val="76FF0528"/>
    <w:rsid w:val="77045574"/>
    <w:rsid w:val="770D6A93"/>
    <w:rsid w:val="77335A07"/>
    <w:rsid w:val="77343076"/>
    <w:rsid w:val="774B0A1F"/>
    <w:rsid w:val="777EDCD6"/>
    <w:rsid w:val="77AF34F8"/>
    <w:rsid w:val="78014D8E"/>
    <w:rsid w:val="78432D95"/>
    <w:rsid w:val="786D7712"/>
    <w:rsid w:val="788A7FD7"/>
    <w:rsid w:val="78DC6412"/>
    <w:rsid w:val="78F788B9"/>
    <w:rsid w:val="78FE0CA5"/>
    <w:rsid w:val="795B78CF"/>
    <w:rsid w:val="79B33F8C"/>
    <w:rsid w:val="7A966109"/>
    <w:rsid w:val="7B101F55"/>
    <w:rsid w:val="7BDFBDF7"/>
    <w:rsid w:val="7CC95FF2"/>
    <w:rsid w:val="7D396E2D"/>
    <w:rsid w:val="7D694E9E"/>
    <w:rsid w:val="7DDB7BFC"/>
    <w:rsid w:val="7DFDF57C"/>
    <w:rsid w:val="7E1B40AE"/>
    <w:rsid w:val="7E3B1A79"/>
    <w:rsid w:val="7E4BE362"/>
    <w:rsid w:val="7E7B8CEA"/>
    <w:rsid w:val="7E830941"/>
    <w:rsid w:val="7EBC2911"/>
    <w:rsid w:val="7EE3F40F"/>
    <w:rsid w:val="7F3472CE"/>
    <w:rsid w:val="7F724BB1"/>
    <w:rsid w:val="7F756D55"/>
    <w:rsid w:val="7F986626"/>
    <w:rsid w:val="7F9D5378"/>
    <w:rsid w:val="7FB3D93E"/>
    <w:rsid w:val="7FB742CF"/>
    <w:rsid w:val="7FBB6CEB"/>
    <w:rsid w:val="7FD97BFC"/>
    <w:rsid w:val="7FDD6302"/>
    <w:rsid w:val="7FE5BBC4"/>
    <w:rsid w:val="7FEDF1A2"/>
    <w:rsid w:val="7FEF1928"/>
    <w:rsid w:val="7FEF9E0B"/>
    <w:rsid w:val="7FFB4B33"/>
    <w:rsid w:val="7FFBC002"/>
    <w:rsid w:val="9F5F21F2"/>
    <w:rsid w:val="9FF7C9A4"/>
    <w:rsid w:val="ACFA3B4B"/>
    <w:rsid w:val="B6FC9F44"/>
    <w:rsid w:val="B8CABF0E"/>
    <w:rsid w:val="BABDE969"/>
    <w:rsid w:val="BDCFB3C2"/>
    <w:rsid w:val="BDED0696"/>
    <w:rsid w:val="BE2E9E46"/>
    <w:rsid w:val="BEBCEDEA"/>
    <w:rsid w:val="BEBEDF04"/>
    <w:rsid w:val="BF7DC39C"/>
    <w:rsid w:val="BFF7C5D1"/>
    <w:rsid w:val="C5FFB1ED"/>
    <w:rsid w:val="CE9F08AC"/>
    <w:rsid w:val="CEFBDA19"/>
    <w:rsid w:val="CFDD728B"/>
    <w:rsid w:val="D78F8098"/>
    <w:rsid w:val="DD7C3D08"/>
    <w:rsid w:val="DE5FC5B7"/>
    <w:rsid w:val="DF3FB433"/>
    <w:rsid w:val="DF6B2684"/>
    <w:rsid w:val="DFE55A2A"/>
    <w:rsid w:val="DFE785C9"/>
    <w:rsid w:val="E55FED39"/>
    <w:rsid w:val="E57BA949"/>
    <w:rsid w:val="E77BCD92"/>
    <w:rsid w:val="E77F5E46"/>
    <w:rsid w:val="E9FD44C5"/>
    <w:rsid w:val="EBAF2FE0"/>
    <w:rsid w:val="EDFF833E"/>
    <w:rsid w:val="EF65483F"/>
    <w:rsid w:val="EFB60E6A"/>
    <w:rsid w:val="EFDE7EFB"/>
    <w:rsid w:val="EFED7D33"/>
    <w:rsid w:val="EFFB6C99"/>
    <w:rsid w:val="EFFB7C8A"/>
    <w:rsid w:val="F4FF036E"/>
    <w:rsid w:val="F67AEFC4"/>
    <w:rsid w:val="F7B30FD6"/>
    <w:rsid w:val="F7DFD0E6"/>
    <w:rsid w:val="F7FFD9C3"/>
    <w:rsid w:val="F9E708BC"/>
    <w:rsid w:val="FA6A1BCF"/>
    <w:rsid w:val="FB7D863F"/>
    <w:rsid w:val="FBF7CB2B"/>
    <w:rsid w:val="FC1545B4"/>
    <w:rsid w:val="FCAB2894"/>
    <w:rsid w:val="FCFD8A34"/>
    <w:rsid w:val="FD9EB9E0"/>
    <w:rsid w:val="FDEE5E35"/>
    <w:rsid w:val="FDF8AE67"/>
    <w:rsid w:val="FE4DE98C"/>
    <w:rsid w:val="FE5E1487"/>
    <w:rsid w:val="FE79C8BB"/>
    <w:rsid w:val="FEBA2B6C"/>
    <w:rsid w:val="FEFE2721"/>
    <w:rsid w:val="FF3F2220"/>
    <w:rsid w:val="FF75D420"/>
    <w:rsid w:val="FF7C5FDE"/>
    <w:rsid w:val="FF9FBA0F"/>
    <w:rsid w:val="FFAEE9A2"/>
    <w:rsid w:val="FFF5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unhideWhenUsed/>
    <w:qFormat/>
    <w:uiPriority w:val="0"/>
    <w:rPr>
      <w:rFonts w:ascii="宋体"/>
      <w:sz w:val="18"/>
      <w:szCs w:val="18"/>
    </w:rPr>
  </w:style>
  <w:style w:type="paragraph" w:styleId="4">
    <w:name w:val="annotation text"/>
    <w:basedOn w:val="1"/>
    <w:link w:val="21"/>
    <w:unhideWhenUsed/>
    <w:qFormat/>
    <w:uiPriority w:val="0"/>
    <w:pPr>
      <w:jc w:val="left"/>
    </w:pPr>
  </w:style>
  <w:style w:type="paragraph" w:styleId="5">
    <w:name w:val="Body Text"/>
    <w:basedOn w:val="1"/>
    <w:link w:val="22"/>
    <w:qFormat/>
    <w:uiPriority w:val="0"/>
    <w:pPr>
      <w:adjustRightInd w:val="0"/>
      <w:jc w:val="left"/>
      <w:textAlignment w:val="baseline"/>
    </w:pPr>
    <w:rPr>
      <w:szCs w:val="20"/>
    </w:rPr>
  </w:style>
  <w:style w:type="paragraph" w:styleId="6">
    <w:name w:val="Balloon Text"/>
    <w:basedOn w:val="1"/>
    <w:link w:val="23"/>
    <w:semiHidden/>
    <w:qFormat/>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6"/>
    <w:semiHidden/>
    <w:qFormat/>
    <w:uiPriority w:val="0"/>
    <w:pPr>
      <w:snapToGrid w:val="0"/>
      <w:jc w:val="left"/>
    </w:pPr>
    <w:rPr>
      <w:sz w:val="18"/>
      <w:szCs w:val="18"/>
    </w:rPr>
  </w:style>
  <w:style w:type="paragraph" w:styleId="10">
    <w:name w:val="annotation subject"/>
    <w:basedOn w:val="4"/>
    <w:next w:val="4"/>
    <w:link w:val="27"/>
    <w:unhideWhenUsed/>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Theme"/>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styleId="18">
    <w:name w:val="annotation reference"/>
    <w:basedOn w:val="14"/>
    <w:unhideWhenUsed/>
    <w:qFormat/>
    <w:uiPriority w:val="0"/>
    <w:rPr>
      <w:sz w:val="21"/>
      <w:szCs w:val="21"/>
    </w:rPr>
  </w:style>
  <w:style w:type="character" w:styleId="19">
    <w:name w:val="footnote reference"/>
    <w:basedOn w:val="14"/>
    <w:semiHidden/>
    <w:qFormat/>
    <w:uiPriority w:val="0"/>
    <w:rPr>
      <w:vertAlign w:val="superscript"/>
    </w:rPr>
  </w:style>
  <w:style w:type="character" w:customStyle="1" w:styleId="20">
    <w:name w:val="文档结构图 字符"/>
    <w:basedOn w:val="14"/>
    <w:link w:val="3"/>
    <w:semiHidden/>
    <w:qFormat/>
    <w:uiPriority w:val="0"/>
    <w:rPr>
      <w:rFonts w:ascii="宋体"/>
      <w:kern w:val="2"/>
      <w:sz w:val="18"/>
      <w:szCs w:val="18"/>
    </w:rPr>
  </w:style>
  <w:style w:type="character" w:customStyle="1" w:styleId="21">
    <w:name w:val="批注文字 字符"/>
    <w:basedOn w:val="14"/>
    <w:link w:val="4"/>
    <w:semiHidden/>
    <w:qFormat/>
    <w:uiPriority w:val="0"/>
    <w:rPr>
      <w:kern w:val="2"/>
      <w:sz w:val="21"/>
      <w:szCs w:val="24"/>
    </w:rPr>
  </w:style>
  <w:style w:type="character" w:customStyle="1" w:styleId="22">
    <w:name w:val="正文文本 字符"/>
    <w:basedOn w:val="14"/>
    <w:link w:val="5"/>
    <w:qFormat/>
    <w:uiPriority w:val="0"/>
    <w:rPr>
      <w:kern w:val="2"/>
      <w:sz w:val="21"/>
    </w:rPr>
  </w:style>
  <w:style w:type="character" w:customStyle="1" w:styleId="23">
    <w:name w:val="批注框文本 字符"/>
    <w:basedOn w:val="14"/>
    <w:link w:val="6"/>
    <w:semiHidden/>
    <w:qFormat/>
    <w:uiPriority w:val="0"/>
    <w:rPr>
      <w:kern w:val="2"/>
      <w:sz w:val="18"/>
      <w:szCs w:val="18"/>
    </w:rPr>
  </w:style>
  <w:style w:type="character" w:customStyle="1" w:styleId="24">
    <w:name w:val="页脚 字符"/>
    <w:basedOn w:val="14"/>
    <w:link w:val="7"/>
    <w:qFormat/>
    <w:uiPriority w:val="0"/>
    <w:rPr>
      <w:kern w:val="2"/>
      <w:sz w:val="18"/>
      <w:szCs w:val="18"/>
    </w:rPr>
  </w:style>
  <w:style w:type="character" w:customStyle="1" w:styleId="25">
    <w:name w:val="页眉 字符"/>
    <w:basedOn w:val="14"/>
    <w:link w:val="8"/>
    <w:qFormat/>
    <w:uiPriority w:val="0"/>
    <w:rPr>
      <w:kern w:val="2"/>
      <w:sz w:val="18"/>
      <w:szCs w:val="18"/>
    </w:rPr>
  </w:style>
  <w:style w:type="character" w:customStyle="1" w:styleId="26">
    <w:name w:val="脚注文本 字符"/>
    <w:basedOn w:val="14"/>
    <w:link w:val="9"/>
    <w:semiHidden/>
    <w:qFormat/>
    <w:uiPriority w:val="0"/>
    <w:rPr>
      <w:kern w:val="2"/>
      <w:sz w:val="18"/>
      <w:szCs w:val="18"/>
    </w:rPr>
  </w:style>
  <w:style w:type="character" w:customStyle="1" w:styleId="27">
    <w:name w:val="批注主题 字符"/>
    <w:basedOn w:val="21"/>
    <w:link w:val="10"/>
    <w:semiHidden/>
    <w:qFormat/>
    <w:uiPriority w:val="0"/>
    <w:rPr>
      <w:b/>
      <w:bCs/>
      <w:kern w:val="2"/>
      <w:sz w:val="21"/>
      <w:szCs w:val="24"/>
    </w:rPr>
  </w:style>
  <w:style w:type="paragraph" w:styleId="28">
    <w:name w:val="List Paragraph"/>
    <w:basedOn w:val="1"/>
    <w:qFormat/>
    <w:uiPriority w:val="34"/>
    <w:pPr>
      <w:ind w:firstLine="420" w:firstLineChars="200"/>
    </w:pPr>
  </w:style>
  <w:style w:type="paragraph" w:customStyle="1" w:styleId="29">
    <w:name w:val="修订1"/>
    <w:semiHidden/>
    <w:qFormat/>
    <w:uiPriority w:val="99"/>
    <w:rPr>
      <w:rFonts w:ascii="Times New Roman" w:hAnsi="Times New Roman" w:eastAsia="宋体" w:cs="Times New Roman"/>
      <w:kern w:val="2"/>
      <w:sz w:val="21"/>
      <w:szCs w:val="24"/>
      <w:lang w:val="en-US" w:eastAsia="zh-CN" w:bidi="ar-SA"/>
    </w:rPr>
  </w:style>
  <w:style w:type="table" w:customStyle="1" w:styleId="30">
    <w:name w:val="Table Grid1"/>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11353</Words>
  <Characters>11766</Characters>
  <Lines>123</Lines>
  <Paragraphs>34</Paragraphs>
  <TotalTime>7</TotalTime>
  <ScaleCrop>false</ScaleCrop>
  <LinksUpToDate>false</LinksUpToDate>
  <CharactersWithSpaces>11836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2023-04-10T02:13:00Z</dcterms:created>
  <dc:creator>zm</dc:creator>
  <cp:lastModifiedBy>miss隋</cp:lastModifiedBy>
  <cp:lastPrinted>2023-05-22T08:25:00Z</cp:lastPrinted>
  <dcterms:modified xsi:type="dcterms:W3CDTF">2023-05-25T08:11:32Z</dcterms:modified>
  <dc:title>签     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058C153866034B4D99437E7E66B188CE_13</vt:lpwstr>
  </property>
</Properties>
</file>